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9C5" w:rsidRPr="006202BC" w:rsidRDefault="004129C5" w:rsidP="004129C5">
      <w:pPr>
        <w:rPr>
          <w:rFonts w:ascii="Arial" w:hAnsi="Arial" w:cs="Arial"/>
          <w:sz w:val="20"/>
          <w:szCs w:val="20"/>
        </w:rPr>
      </w:pPr>
      <w:r w:rsidRPr="006202BC">
        <w:rPr>
          <w:rFonts w:ascii="Arial" w:eastAsia="Arial" w:hAnsi="Arial" w:cs="Arial"/>
          <w:sz w:val="20"/>
          <w:szCs w:val="20"/>
          <w:u w:val="single"/>
        </w:rPr>
        <w:t>Original Contribution</w:t>
      </w:r>
    </w:p>
    <w:p w:rsidR="004129C5" w:rsidRPr="006202BC" w:rsidRDefault="004129C5" w:rsidP="004129C5">
      <w:pPr>
        <w:spacing w:line="179" w:lineRule="exact"/>
        <w:rPr>
          <w:rFonts w:ascii="Arial" w:hAnsi="Arial" w:cs="Arial"/>
          <w:sz w:val="24"/>
          <w:szCs w:val="24"/>
        </w:rPr>
      </w:pPr>
    </w:p>
    <w:p w:rsidR="00BE5364" w:rsidRPr="006202BC" w:rsidRDefault="004129C5" w:rsidP="004129C5">
      <w:pPr>
        <w:jc w:val="both"/>
        <w:rPr>
          <w:rFonts w:ascii="Arial" w:eastAsia="Arial" w:hAnsi="Arial" w:cs="Arial"/>
          <w:b/>
          <w:bCs/>
          <w:sz w:val="30"/>
          <w:szCs w:val="30"/>
        </w:rPr>
      </w:pPr>
      <w:r w:rsidRPr="006202BC">
        <w:rPr>
          <w:rFonts w:ascii="Arial" w:eastAsia="Arial" w:hAnsi="Arial" w:cs="Arial"/>
          <w:b/>
          <w:bCs/>
          <w:sz w:val="30"/>
          <w:szCs w:val="30"/>
        </w:rPr>
        <w:t>Comparative Evaluation of Two Obstetrical/Gynecology Resident “Boot Camps” of Different Lengths: Equivalent Practice Skills Confidence and Knowledge Levels</w:t>
      </w:r>
    </w:p>
    <w:p w:rsidR="004129C5" w:rsidRPr="006202BC" w:rsidRDefault="004129C5" w:rsidP="004129C5">
      <w:pPr>
        <w:ind w:right="440"/>
        <w:jc w:val="both"/>
        <w:rPr>
          <w:rFonts w:ascii="Arial" w:eastAsia="Arial" w:hAnsi="Arial" w:cs="Arial"/>
          <w:sz w:val="18"/>
          <w:szCs w:val="18"/>
        </w:rPr>
      </w:pPr>
    </w:p>
    <w:p w:rsidR="004129C5" w:rsidRPr="006202BC" w:rsidRDefault="004129C5" w:rsidP="004129C5">
      <w:pPr>
        <w:ind w:right="440"/>
        <w:jc w:val="both"/>
        <w:rPr>
          <w:rFonts w:ascii="Arial" w:hAnsi="Arial" w:cs="Arial"/>
          <w:sz w:val="20"/>
          <w:szCs w:val="20"/>
        </w:rPr>
      </w:pPr>
      <w:r w:rsidRPr="006202BC">
        <w:rPr>
          <w:rFonts w:ascii="Arial" w:eastAsia="Arial" w:hAnsi="Arial" w:cs="Arial"/>
          <w:sz w:val="20"/>
          <w:szCs w:val="20"/>
        </w:rPr>
        <w:t>Jeffrey D. Postlewaite</w:t>
      </w:r>
      <w:r w:rsidR="00495320" w:rsidRPr="006202BC">
        <w:rPr>
          <w:rStyle w:val="FootnoteReference"/>
          <w:rFonts w:ascii="Arial" w:eastAsia="Arial" w:hAnsi="Arial" w:cs="Arial"/>
          <w:sz w:val="20"/>
          <w:szCs w:val="20"/>
        </w:rPr>
        <w:footnoteReference w:id="1"/>
      </w:r>
      <w:r w:rsidRPr="006202BC">
        <w:rPr>
          <w:rFonts w:ascii="Arial" w:eastAsia="Arial" w:hAnsi="Arial" w:cs="Arial"/>
          <w:sz w:val="20"/>
          <w:szCs w:val="20"/>
        </w:rPr>
        <w:t>, DO, FACOOG</w:t>
      </w:r>
      <w:r w:rsidR="00495320" w:rsidRPr="006202BC">
        <w:rPr>
          <w:rStyle w:val="FootnoteReference"/>
          <w:rFonts w:ascii="Arial" w:eastAsia="Arial" w:hAnsi="Arial" w:cs="Arial"/>
          <w:sz w:val="20"/>
          <w:szCs w:val="20"/>
        </w:rPr>
        <w:footnoteReference w:id="2"/>
      </w:r>
      <w:r w:rsidR="00990734" w:rsidRPr="006202BC">
        <w:rPr>
          <w:rStyle w:val="FootnoteReference"/>
          <w:rFonts w:ascii="Arial" w:eastAsia="Arial" w:hAnsi="Arial" w:cs="Arial"/>
          <w:sz w:val="18"/>
          <w:szCs w:val="18"/>
        </w:rPr>
        <w:footnoteReference w:customMarkFollows="1" w:id="3"/>
        <w:t>֎</w:t>
      </w:r>
      <w:r w:rsidRPr="006202BC">
        <w:rPr>
          <w:rFonts w:ascii="Arial" w:eastAsia="Arial" w:hAnsi="Arial" w:cs="Arial"/>
          <w:sz w:val="20"/>
          <w:szCs w:val="20"/>
        </w:rPr>
        <w:t>, David Boes</w:t>
      </w:r>
      <w:r w:rsidR="00495320" w:rsidRPr="006202BC">
        <w:rPr>
          <w:rStyle w:val="FootnoteReference"/>
          <w:rFonts w:ascii="Arial" w:eastAsia="Arial" w:hAnsi="Arial" w:cs="Arial"/>
          <w:sz w:val="20"/>
          <w:szCs w:val="20"/>
        </w:rPr>
        <w:footnoteReference w:id="4"/>
      </w:r>
      <w:r w:rsidRPr="006202BC">
        <w:rPr>
          <w:rFonts w:ascii="Arial" w:eastAsia="Arial" w:hAnsi="Arial" w:cs="Arial"/>
          <w:sz w:val="20"/>
          <w:szCs w:val="20"/>
        </w:rPr>
        <w:t>, DO, FACOOG</w:t>
      </w:r>
      <w:r w:rsidR="00495320" w:rsidRPr="006202BC">
        <w:rPr>
          <w:rStyle w:val="FootnoteReference"/>
          <w:rFonts w:ascii="Arial" w:eastAsia="Arial" w:hAnsi="Arial" w:cs="Arial"/>
          <w:sz w:val="20"/>
          <w:szCs w:val="20"/>
        </w:rPr>
        <w:footnoteReference w:id="5"/>
      </w:r>
      <w:r w:rsidRPr="006202BC">
        <w:rPr>
          <w:rFonts w:ascii="Arial" w:eastAsia="Arial" w:hAnsi="Arial" w:cs="Arial"/>
          <w:sz w:val="20"/>
          <w:szCs w:val="20"/>
        </w:rPr>
        <w:t>, Salvatore Finazzo</w:t>
      </w:r>
      <w:r w:rsidR="00495320" w:rsidRPr="006202BC">
        <w:rPr>
          <w:rStyle w:val="FootnoteReference"/>
          <w:rFonts w:ascii="Arial" w:eastAsia="Arial" w:hAnsi="Arial" w:cs="Arial"/>
          <w:sz w:val="20"/>
          <w:szCs w:val="20"/>
        </w:rPr>
        <w:footnoteReference w:id="6"/>
      </w:r>
    </w:p>
    <w:p w:rsidR="004129C5" w:rsidRPr="006202BC" w:rsidRDefault="004129C5" w:rsidP="004129C5">
      <w:pPr>
        <w:ind w:right="440"/>
        <w:jc w:val="both"/>
        <w:rPr>
          <w:rFonts w:ascii="Arial" w:eastAsia="Arial" w:hAnsi="Arial" w:cs="Arial"/>
          <w:sz w:val="18"/>
          <w:szCs w:val="18"/>
        </w:rPr>
      </w:pPr>
    </w:p>
    <w:p w:rsidR="004129C5" w:rsidRPr="006202BC" w:rsidRDefault="004129C5" w:rsidP="004129C5">
      <w:pPr>
        <w:jc w:val="both"/>
        <w:rPr>
          <w:rFonts w:ascii="Arial" w:eastAsia="Arial" w:hAnsi="Arial" w:cs="Arial"/>
          <w:sz w:val="18"/>
          <w:szCs w:val="18"/>
        </w:rPr>
      </w:pPr>
      <w:r w:rsidRPr="006202BC">
        <w:rPr>
          <w:rFonts w:ascii="Arial" w:eastAsia="Arial" w:hAnsi="Arial" w:cs="Arial"/>
          <w:sz w:val="18"/>
          <w:szCs w:val="18"/>
        </w:rPr>
        <w:t>Keywords: knowledge improvements, practice confidence, ob/gyn, resident boot camps</w:t>
      </w:r>
    </w:p>
    <w:p w:rsidR="004129C5" w:rsidRPr="006202BC" w:rsidRDefault="004129C5" w:rsidP="004129C5">
      <w:pPr>
        <w:jc w:val="both"/>
        <w:rPr>
          <w:rFonts w:ascii="Arial" w:eastAsia="Arial" w:hAnsi="Arial" w:cs="Arial"/>
          <w:sz w:val="18"/>
          <w:szCs w:val="18"/>
        </w:rPr>
      </w:pPr>
    </w:p>
    <w:p w:rsidR="004129C5" w:rsidRPr="006202BC" w:rsidRDefault="004129C5" w:rsidP="004129C5">
      <w:pPr>
        <w:pBdr>
          <w:top w:val="single" w:sz="4" w:space="1" w:color="auto"/>
        </w:pBdr>
        <w:jc w:val="both"/>
        <w:rPr>
          <w:rFonts w:ascii="Arial" w:eastAsia="Arial" w:hAnsi="Arial" w:cs="Arial"/>
          <w:sz w:val="18"/>
          <w:szCs w:val="18"/>
        </w:rPr>
      </w:pPr>
    </w:p>
    <w:p w:rsidR="004129C5" w:rsidRPr="006202BC" w:rsidRDefault="004129C5" w:rsidP="004129C5">
      <w:pPr>
        <w:jc w:val="both"/>
        <w:rPr>
          <w:rFonts w:ascii="Arial" w:eastAsia="Arial" w:hAnsi="Arial" w:cs="Arial"/>
          <w:b/>
          <w:sz w:val="24"/>
          <w:szCs w:val="24"/>
        </w:rPr>
      </w:pPr>
      <w:r w:rsidRPr="006202BC">
        <w:rPr>
          <w:rFonts w:ascii="Arial" w:eastAsia="Arial" w:hAnsi="Arial" w:cs="Arial"/>
          <w:b/>
          <w:sz w:val="24"/>
          <w:szCs w:val="24"/>
        </w:rPr>
        <w:t>Asian Journal of Applied Science and Engineering</w:t>
      </w:r>
    </w:p>
    <w:p w:rsidR="004129C5" w:rsidRPr="006202BC" w:rsidRDefault="004129C5" w:rsidP="004129C5">
      <w:pPr>
        <w:jc w:val="both"/>
        <w:rPr>
          <w:rFonts w:ascii="Arial" w:eastAsia="Arial" w:hAnsi="Arial" w:cs="Arial"/>
          <w:sz w:val="10"/>
          <w:szCs w:val="10"/>
        </w:rPr>
      </w:pPr>
    </w:p>
    <w:p w:rsidR="004129C5" w:rsidRPr="006202BC" w:rsidRDefault="004129C5" w:rsidP="004129C5">
      <w:pPr>
        <w:pBdr>
          <w:bottom w:val="single" w:sz="4" w:space="1" w:color="auto"/>
        </w:pBdr>
        <w:jc w:val="both"/>
        <w:rPr>
          <w:rFonts w:ascii="Arial" w:eastAsia="Arial" w:hAnsi="Arial" w:cs="Arial"/>
          <w:sz w:val="18"/>
          <w:szCs w:val="18"/>
        </w:rPr>
      </w:pPr>
      <w:r w:rsidRPr="006202BC">
        <w:rPr>
          <w:rFonts w:ascii="Arial" w:eastAsia="Arial" w:hAnsi="Arial" w:cs="Arial"/>
          <w:sz w:val="18"/>
          <w:szCs w:val="18"/>
        </w:rPr>
        <w:t>Vol. 10, Issue 1, 2021</w:t>
      </w:r>
      <w:r w:rsidR="004C0EF8" w:rsidRPr="006202BC">
        <w:rPr>
          <w:rFonts w:ascii="Arial" w:eastAsia="Arial" w:hAnsi="Arial" w:cs="Arial"/>
          <w:sz w:val="18"/>
          <w:szCs w:val="18"/>
        </w:rPr>
        <w:t xml:space="preserve"> [Pages 1-5]</w:t>
      </w:r>
    </w:p>
    <w:p w:rsidR="004129C5" w:rsidRPr="006202BC" w:rsidRDefault="004129C5" w:rsidP="004129C5">
      <w:pPr>
        <w:pBdr>
          <w:bottom w:val="single" w:sz="4" w:space="1" w:color="auto"/>
        </w:pBdr>
        <w:jc w:val="both"/>
        <w:rPr>
          <w:rFonts w:ascii="Arial" w:eastAsia="Arial" w:hAnsi="Arial" w:cs="Arial"/>
          <w:sz w:val="18"/>
          <w:szCs w:val="18"/>
        </w:rPr>
      </w:pPr>
    </w:p>
    <w:p w:rsidR="004129C5" w:rsidRPr="006202BC" w:rsidRDefault="004129C5" w:rsidP="000E5B8C">
      <w:pPr>
        <w:spacing w:line="240" w:lineRule="exact"/>
        <w:rPr>
          <w:rFonts w:ascii="Arial" w:eastAsia="Arial" w:hAnsi="Arial" w:cs="Arial"/>
          <w:sz w:val="18"/>
          <w:szCs w:val="18"/>
        </w:rPr>
      </w:pPr>
    </w:p>
    <w:p w:rsidR="004129C5" w:rsidRPr="006202BC" w:rsidRDefault="004129C5" w:rsidP="000E5B8C">
      <w:pPr>
        <w:spacing w:line="240" w:lineRule="exact"/>
        <w:ind w:left="1134" w:right="1138"/>
        <w:jc w:val="both"/>
        <w:rPr>
          <w:rFonts w:ascii="Arial" w:eastAsia="Arial" w:hAnsi="Arial" w:cs="Arial"/>
          <w:sz w:val="18"/>
          <w:szCs w:val="18"/>
        </w:rPr>
      </w:pPr>
      <w:r w:rsidRPr="006202BC">
        <w:rPr>
          <w:rFonts w:ascii="Arial" w:eastAsia="Arial" w:hAnsi="Arial" w:cs="Arial"/>
          <w:sz w:val="18"/>
          <w:szCs w:val="18"/>
        </w:rPr>
        <w:t>Since the earlier time of master-apprentice type GME relationships, more</w:t>
      </w:r>
      <w:r w:rsidRPr="006202BC">
        <w:rPr>
          <w:rFonts w:ascii="Arial" w:eastAsia="Arial" w:hAnsi="Arial" w:cs="Arial"/>
          <w:b/>
          <w:bCs/>
          <w:sz w:val="18"/>
          <w:szCs w:val="18"/>
        </w:rPr>
        <w:t xml:space="preserve"> </w:t>
      </w:r>
      <w:r w:rsidRPr="006202BC">
        <w:rPr>
          <w:rFonts w:ascii="Arial" w:eastAsia="Arial" w:hAnsi="Arial" w:cs="Arial"/>
          <w:sz w:val="18"/>
          <w:szCs w:val="18"/>
        </w:rPr>
        <w:t xml:space="preserve">residency program educators have developed various forms of </w:t>
      </w:r>
      <w:r w:rsidRPr="006202BC">
        <w:rPr>
          <w:rFonts w:ascii="Arial" w:eastAsia="Arial" w:hAnsi="Arial" w:cs="Arial"/>
          <w:i/>
          <w:iCs/>
          <w:sz w:val="18"/>
          <w:szCs w:val="18"/>
        </w:rPr>
        <w:t>boot camps</w:t>
      </w:r>
      <w:r w:rsidRPr="006202BC">
        <w:rPr>
          <w:rFonts w:ascii="Arial" w:eastAsia="Arial" w:hAnsi="Arial" w:cs="Arial"/>
          <w:sz w:val="18"/>
          <w:szCs w:val="18"/>
        </w:rPr>
        <w:t xml:space="preserve"> to ease incoming learners into their new specialty roles as first-year residents. Such boot camps have ranged from informal informational sessions with faculty using simulation activities, to more formal workshops entailing pre- and post-event skills assessments with simulation exercises, formative feedback and debriefing sessions. The purpose of this pilot project was to examine for relative pre- and post-boot camp changes in Obstetrics/Gynecology (OB/GYN) practice skills confidence and knowledge levels in two consecutive cohorts (2014 and 2015) of first-year residents. Boot camps were of two different lengths: a five-day 2014 camp (n = 32</w:t>
      </w:r>
      <w:r w:rsidRPr="006202BC">
        <w:rPr>
          <w:rFonts w:ascii="Arial" w:eastAsia="Arial" w:hAnsi="Arial" w:cs="Arial"/>
          <w:b/>
          <w:bCs/>
          <w:sz w:val="18"/>
          <w:szCs w:val="18"/>
        </w:rPr>
        <w:t xml:space="preserve"> </w:t>
      </w:r>
      <w:r w:rsidRPr="006202BC">
        <w:rPr>
          <w:rFonts w:ascii="Arial" w:eastAsia="Arial" w:hAnsi="Arial" w:cs="Arial"/>
          <w:sz w:val="18"/>
          <w:szCs w:val="18"/>
        </w:rPr>
        <w:t xml:space="preserve">residents) and shortened three-day 2015 boot camp (n = 29 residents). Respondents from both boot camp cohorts were invited to complete the same 25-item OB/GYN practice skills confidence and knowledge survey. The first three authors developed this survey prior to the initial boot camp (2014). Revisions/adjustments were then made to content after the 2014 to pare down from the initial five days’ worth of content for the 2014 boot camp to three days for the 2015 boot camp. Each of 45 sample resident respondents who provided complete pre-and post-boot camp data demonstrated improvements in self-rated practice confidence and knowledge levels. Mean per resident pre-post-boot camp survey rating levels for individual items in the shorter 2015 boot camp cohort increased by 1.096 (SD = 0.5487), over a two-fold increase for most individual items in the 2014 residents. Mean cohort differences represented a nonsignificant equivalent increase in pre-post practice confidence and knowledge levels for individual ratings items between the 2014 and 2015 cohorts (p = 0.241). </w:t>
      </w:r>
    </w:p>
    <w:p w:rsidR="004129C5" w:rsidRPr="006202BC" w:rsidRDefault="004129C5" w:rsidP="000E5B8C">
      <w:pPr>
        <w:spacing w:line="240" w:lineRule="exact"/>
        <w:rPr>
          <w:rFonts w:ascii="Arial" w:eastAsia="Arial" w:hAnsi="Arial" w:cs="Arial"/>
          <w:sz w:val="17"/>
          <w:szCs w:val="17"/>
        </w:rPr>
      </w:pPr>
    </w:p>
    <w:p w:rsidR="004129C5" w:rsidRPr="006202BC" w:rsidRDefault="004129C5" w:rsidP="000E5B8C">
      <w:pPr>
        <w:pBdr>
          <w:bottom w:val="single" w:sz="4" w:space="1" w:color="auto"/>
        </w:pBdr>
        <w:spacing w:line="240" w:lineRule="exact"/>
        <w:rPr>
          <w:rFonts w:ascii="Arial" w:eastAsia="Arial" w:hAnsi="Arial" w:cs="Arial"/>
          <w:sz w:val="18"/>
          <w:szCs w:val="18"/>
        </w:rPr>
      </w:pPr>
    </w:p>
    <w:p w:rsidR="004129C5" w:rsidRPr="006202BC" w:rsidRDefault="004129C5" w:rsidP="004129C5">
      <w:pPr>
        <w:rPr>
          <w:rFonts w:ascii="Arial" w:eastAsia="Arial" w:hAnsi="Arial" w:cs="Arial"/>
          <w:sz w:val="18"/>
          <w:szCs w:val="18"/>
        </w:rPr>
      </w:pPr>
    </w:p>
    <w:p w:rsidR="00C86AE8" w:rsidRPr="006202BC" w:rsidRDefault="00C86AE8" w:rsidP="001B66EE">
      <w:pPr>
        <w:rPr>
          <w:rFonts w:ascii="Arial" w:eastAsia="Arial" w:hAnsi="Arial" w:cs="Arial"/>
          <w:b/>
          <w:bCs/>
          <w:sz w:val="24"/>
        </w:rPr>
        <w:sectPr w:rsidR="00C86AE8" w:rsidRPr="006202BC" w:rsidSect="004C0EF8">
          <w:headerReference w:type="even" r:id="rId8"/>
          <w:headerReference w:type="default" r:id="rId9"/>
          <w:footerReference w:type="default" r:id="rId10"/>
          <w:headerReference w:type="first" r:id="rId11"/>
          <w:pgSz w:w="12240" w:h="15840" w:code="1"/>
          <w:pgMar w:top="1440" w:right="1440" w:bottom="1440" w:left="1440" w:header="720" w:footer="720" w:gutter="0"/>
          <w:pgNumType w:start="11"/>
          <w:cols w:space="720"/>
          <w:titlePg/>
          <w:docGrid w:linePitch="360"/>
        </w:sectPr>
      </w:pPr>
    </w:p>
    <w:p w:rsidR="00A47F94" w:rsidRPr="006202BC" w:rsidRDefault="00A47F94" w:rsidP="001B66EE">
      <w:pPr>
        <w:rPr>
          <w:rFonts w:ascii="Arial" w:hAnsi="Arial" w:cs="Arial"/>
          <w:sz w:val="24"/>
        </w:rPr>
      </w:pPr>
      <w:r w:rsidRPr="006202BC">
        <w:rPr>
          <w:rFonts w:ascii="Arial" w:eastAsia="Arial" w:hAnsi="Arial" w:cs="Arial"/>
          <w:b/>
          <w:bCs/>
          <w:sz w:val="24"/>
        </w:rPr>
        <w:t>INTRODUCTION</w:t>
      </w:r>
    </w:p>
    <w:p w:rsidR="00A47F94" w:rsidRPr="006202BC" w:rsidRDefault="00A47F94" w:rsidP="000E5B8C">
      <w:pPr>
        <w:spacing w:line="240" w:lineRule="exact"/>
        <w:rPr>
          <w:rFonts w:ascii="Arial" w:hAnsi="Arial" w:cs="Arial"/>
          <w:sz w:val="20"/>
          <w:szCs w:val="20"/>
        </w:rPr>
      </w:pPr>
    </w:p>
    <w:p w:rsidR="00287A6E" w:rsidRPr="006202BC" w:rsidRDefault="00A47F94" w:rsidP="000E5B8C">
      <w:pPr>
        <w:spacing w:line="240" w:lineRule="exact"/>
        <w:jc w:val="both"/>
        <w:rPr>
          <w:rFonts w:ascii="Arial" w:eastAsia="Arial" w:hAnsi="Arial" w:cs="Arial"/>
          <w:sz w:val="20"/>
          <w:szCs w:val="20"/>
        </w:rPr>
      </w:pPr>
      <w:r w:rsidRPr="006202BC">
        <w:rPr>
          <w:rFonts w:ascii="Arial" w:eastAsia="Arial" w:hAnsi="Arial" w:cs="Arial"/>
          <w:sz w:val="20"/>
          <w:szCs w:val="20"/>
        </w:rPr>
        <w:t xml:space="preserve">Throughout their undergraduate and postgraduate medical education as learners, most incoming resident physicians face a series of transitions that </w:t>
      </w:r>
      <w:r w:rsidRPr="006202BC">
        <w:rPr>
          <w:rFonts w:ascii="Arial" w:eastAsia="Arial" w:hAnsi="Arial" w:cs="Arial"/>
          <w:sz w:val="20"/>
          <w:szCs w:val="20"/>
        </w:rPr>
        <w:t xml:space="preserve">can be stressful, sometimes causing them to question the adequacy of their clinical skills as they enter graduate medical education (GME) training. The major transition entailed from completing a medical school program to starting a specialty </w:t>
      </w:r>
      <w:r w:rsidRPr="006202BC">
        <w:rPr>
          <w:rFonts w:ascii="Arial" w:eastAsia="Arial" w:hAnsi="Arial" w:cs="Arial"/>
          <w:sz w:val="20"/>
          <w:szCs w:val="20"/>
        </w:rPr>
        <w:lastRenderedPageBreak/>
        <w:t>residency program may cause many new residents to experience uncertainty or anxiety concerning their preparation to enter clinical practice.</w:t>
      </w:r>
    </w:p>
    <w:p w:rsidR="00A47F94" w:rsidRPr="006202BC" w:rsidRDefault="00A47F94" w:rsidP="000E5B8C">
      <w:pPr>
        <w:spacing w:line="240" w:lineRule="exact"/>
        <w:jc w:val="both"/>
        <w:rPr>
          <w:rFonts w:ascii="Arial" w:eastAsia="Arial" w:hAnsi="Arial" w:cs="Arial"/>
          <w:sz w:val="20"/>
          <w:szCs w:val="20"/>
        </w:rPr>
      </w:pPr>
      <w:r w:rsidRPr="006202BC">
        <w:rPr>
          <w:rFonts w:ascii="Arial" w:eastAsia="Arial" w:hAnsi="Arial" w:cs="Arial"/>
          <w:sz w:val="20"/>
          <w:szCs w:val="20"/>
        </w:rPr>
        <w:t xml:space="preserve"> </w:t>
      </w:r>
    </w:p>
    <w:p w:rsidR="00A47F94" w:rsidRPr="006202BC" w:rsidRDefault="00287A6E" w:rsidP="000E5B8C">
      <w:pPr>
        <w:spacing w:line="240" w:lineRule="exact"/>
        <w:rPr>
          <w:rFonts w:ascii="Arial" w:hAnsi="Arial" w:cs="Arial"/>
          <w:sz w:val="20"/>
          <w:szCs w:val="20"/>
        </w:rPr>
      </w:pPr>
      <w:r w:rsidRPr="006202BC">
        <w:rPr>
          <w:rFonts w:ascii="Arial" w:eastAsia="Arial" w:hAnsi="Arial" w:cs="Arial"/>
          <w:b/>
          <w:bCs/>
          <w:sz w:val="20"/>
          <w:szCs w:val="20"/>
        </w:rPr>
        <w:t>Purpose of Analyses</w:t>
      </w:r>
    </w:p>
    <w:p w:rsidR="00A47F94" w:rsidRPr="006202BC" w:rsidRDefault="00A47F94" w:rsidP="000E5B8C">
      <w:pPr>
        <w:spacing w:line="240" w:lineRule="exact"/>
        <w:jc w:val="both"/>
        <w:rPr>
          <w:rFonts w:ascii="Arial" w:eastAsia="Arial" w:hAnsi="Arial" w:cs="Arial"/>
          <w:sz w:val="20"/>
          <w:szCs w:val="20"/>
        </w:rPr>
      </w:pPr>
    </w:p>
    <w:p w:rsidR="00A47F94" w:rsidRPr="006202BC" w:rsidRDefault="00A47F94" w:rsidP="00D57F63">
      <w:pPr>
        <w:spacing w:line="240" w:lineRule="exact"/>
        <w:jc w:val="both"/>
        <w:rPr>
          <w:rFonts w:ascii="Arial" w:eastAsia="Arial" w:hAnsi="Arial" w:cs="Arial"/>
          <w:sz w:val="20"/>
          <w:szCs w:val="20"/>
        </w:rPr>
      </w:pPr>
      <w:r w:rsidRPr="006202BC">
        <w:rPr>
          <w:rFonts w:ascii="Arial" w:eastAsia="Arial" w:hAnsi="Arial" w:cs="Arial"/>
          <w:sz w:val="20"/>
          <w:szCs w:val="20"/>
        </w:rPr>
        <w:t>The purpose of these exploratory descriptive analyses was to examine for relative pre and post-boot camp changes in OB/GYN practice skills confidence and knowledge ratings in two cohorts of first-year OB/GYN residents post completion of boot camps of two different lengths: either a five-day boot camp (July, 2014) or a shortened three-day boot camp (July, 2015).</w:t>
      </w:r>
    </w:p>
    <w:p w:rsidR="00A47F94" w:rsidRPr="006202BC" w:rsidRDefault="00A47F94" w:rsidP="00D57F63">
      <w:pPr>
        <w:spacing w:line="240" w:lineRule="exact"/>
        <w:jc w:val="both"/>
        <w:rPr>
          <w:rFonts w:ascii="Arial" w:eastAsia="Arial" w:hAnsi="Arial" w:cs="Arial"/>
          <w:sz w:val="20"/>
          <w:szCs w:val="20"/>
        </w:rPr>
      </w:pPr>
    </w:p>
    <w:p w:rsidR="00A47F94" w:rsidRPr="006202BC" w:rsidRDefault="00A47F94" w:rsidP="00D57F63">
      <w:pPr>
        <w:spacing w:line="240" w:lineRule="exact"/>
        <w:rPr>
          <w:rFonts w:ascii="Arial" w:eastAsia="Arial" w:hAnsi="Arial" w:cs="Arial"/>
          <w:b/>
          <w:bCs/>
          <w:sz w:val="24"/>
        </w:rPr>
      </w:pPr>
      <w:r w:rsidRPr="006202BC">
        <w:rPr>
          <w:rFonts w:ascii="Arial" w:eastAsia="Arial" w:hAnsi="Arial" w:cs="Arial"/>
          <w:b/>
          <w:bCs/>
          <w:sz w:val="24"/>
        </w:rPr>
        <w:t>METHODS</w:t>
      </w:r>
    </w:p>
    <w:p w:rsidR="00A47F94" w:rsidRPr="006202BC" w:rsidRDefault="00A47F94" w:rsidP="00D57F63">
      <w:pPr>
        <w:spacing w:line="240" w:lineRule="exact"/>
        <w:jc w:val="both"/>
        <w:rPr>
          <w:rFonts w:ascii="Arial" w:eastAsia="Arial" w:hAnsi="Arial" w:cs="Arial"/>
          <w:sz w:val="20"/>
          <w:szCs w:val="20"/>
        </w:rPr>
      </w:pPr>
    </w:p>
    <w:p w:rsidR="00A47F94" w:rsidRPr="006202BC" w:rsidRDefault="00A47F94" w:rsidP="00D57F63">
      <w:pPr>
        <w:spacing w:line="240" w:lineRule="exact"/>
        <w:jc w:val="both"/>
        <w:rPr>
          <w:rFonts w:ascii="Arial" w:eastAsia="Arial" w:hAnsi="Arial" w:cs="Arial"/>
          <w:sz w:val="20"/>
          <w:szCs w:val="20"/>
        </w:rPr>
      </w:pPr>
      <w:r w:rsidRPr="006202BC">
        <w:rPr>
          <w:rFonts w:ascii="Arial" w:eastAsia="Arial" w:hAnsi="Arial" w:cs="Arial"/>
          <w:sz w:val="20"/>
          <w:szCs w:val="20"/>
        </w:rPr>
        <w:t>The first 2014 boot camp was established by the first four authors (JDP, DB, SF, CC) to run for five consecutive days for first-year incoming residents from one of 13 OB/GYN Osteopathic Residencies in Michigan. The number of first-year residents in each residency program ranged between two and four, and the SCS provided a mechanism (website calendar downloadable pdf's) to share OB/GYN pre-boot camp educational resources.</w:t>
      </w:r>
    </w:p>
    <w:p w:rsidR="00A47F94" w:rsidRPr="006202BC" w:rsidRDefault="00A47F94" w:rsidP="000E5B8C">
      <w:pPr>
        <w:spacing w:line="240" w:lineRule="exact"/>
        <w:jc w:val="both"/>
        <w:rPr>
          <w:rFonts w:ascii="Arial" w:eastAsia="Arial" w:hAnsi="Arial" w:cs="Arial"/>
          <w:sz w:val="20"/>
          <w:szCs w:val="20"/>
        </w:rPr>
      </w:pPr>
    </w:p>
    <w:p w:rsidR="00A47F94" w:rsidRPr="006202BC" w:rsidRDefault="00A47F94" w:rsidP="000E5B8C">
      <w:pPr>
        <w:spacing w:line="240" w:lineRule="exact"/>
        <w:jc w:val="both"/>
        <w:rPr>
          <w:rFonts w:ascii="Arial" w:eastAsia="Arial" w:hAnsi="Arial" w:cs="Arial"/>
          <w:sz w:val="20"/>
          <w:szCs w:val="20"/>
        </w:rPr>
      </w:pPr>
      <w:r w:rsidRPr="006202BC">
        <w:rPr>
          <w:rFonts w:ascii="Arial" w:eastAsia="Arial" w:hAnsi="Arial" w:cs="Arial"/>
          <w:sz w:val="20"/>
          <w:szCs w:val="20"/>
        </w:rPr>
        <w:t>The 2014 boot camp was structured to encompass an introduction to technical OB/GYN practice skills and knowledge content to help residents develop confidence in the transition from medical school to residency. Because our incoming resident learners come from around the country, it also allowed the residents to self-assess how confident they felt in their OB/GYN practice skills and knowledge compared to their colleagues from different medical school backgrounds.</w:t>
      </w:r>
    </w:p>
    <w:p w:rsidR="00A47F94" w:rsidRPr="006202BC" w:rsidRDefault="00A47F94" w:rsidP="000E5B8C">
      <w:pPr>
        <w:spacing w:line="240" w:lineRule="exact"/>
        <w:jc w:val="both"/>
        <w:rPr>
          <w:rFonts w:ascii="Arial" w:eastAsia="Arial" w:hAnsi="Arial" w:cs="Arial"/>
          <w:sz w:val="20"/>
          <w:szCs w:val="20"/>
        </w:rPr>
      </w:pPr>
    </w:p>
    <w:p w:rsidR="00A47F94" w:rsidRPr="006202BC" w:rsidRDefault="00A47F94" w:rsidP="00D57F63">
      <w:pPr>
        <w:spacing w:line="240" w:lineRule="exact"/>
        <w:jc w:val="both"/>
        <w:rPr>
          <w:rFonts w:ascii="Arial" w:eastAsia="Arial" w:hAnsi="Arial" w:cs="Arial"/>
          <w:sz w:val="20"/>
          <w:szCs w:val="20"/>
        </w:rPr>
      </w:pPr>
      <w:r w:rsidRPr="006202BC">
        <w:rPr>
          <w:rFonts w:ascii="Arial" w:eastAsia="Arial" w:hAnsi="Arial" w:cs="Arial"/>
          <w:sz w:val="20"/>
          <w:szCs w:val="20"/>
        </w:rPr>
        <w:t>This 2014 five-day boot camp encompassed didactic presentations, various knot tying skills, episiotomy/ perineal laceration repair, a variety of obstetrical skills (with a full day in the campus-based simulation center), OB/GYN triage cases, and quality and safety in the hospital. There was intentional repetition with some of the planned skills training to encourage retention. Fetal heart rate (FHR) interpretation was also a component of this boot camp. In 2015, the authors had decided to consolidate most of the same basic content into a three-day boot camp. Participation in both boot camps was encouraged but not mandatory.</w:t>
      </w:r>
    </w:p>
    <w:p w:rsidR="00A47F94" w:rsidRPr="006202BC" w:rsidRDefault="00A47F94" w:rsidP="00D57F63">
      <w:pPr>
        <w:spacing w:line="240" w:lineRule="exact"/>
        <w:jc w:val="both"/>
        <w:rPr>
          <w:rFonts w:ascii="Arial" w:eastAsia="Arial" w:hAnsi="Arial" w:cs="Arial"/>
          <w:sz w:val="20"/>
          <w:szCs w:val="20"/>
        </w:rPr>
      </w:pPr>
    </w:p>
    <w:p w:rsidR="00A47F94" w:rsidRPr="006202BC" w:rsidRDefault="00A47F94" w:rsidP="00D57F63">
      <w:pPr>
        <w:spacing w:line="240" w:lineRule="exact"/>
        <w:jc w:val="both"/>
        <w:rPr>
          <w:rFonts w:ascii="Arial" w:eastAsia="Arial" w:hAnsi="Arial" w:cs="Arial"/>
          <w:sz w:val="20"/>
          <w:szCs w:val="20"/>
        </w:rPr>
      </w:pPr>
      <w:r w:rsidRPr="006202BC">
        <w:rPr>
          <w:rFonts w:ascii="Arial" w:eastAsia="Arial" w:hAnsi="Arial" w:cs="Arial"/>
          <w:sz w:val="20"/>
          <w:szCs w:val="20"/>
        </w:rPr>
        <w:t>Respondents from both the 2014 and 2015 boot camp cohorts were invited to complete the same 25-item OB/GYN practice skills confidence and knowledge survey that had been developed by the first three authors (JDP, DB, SF) before the first 2014 boot camp. (Appendix 1) The survey items each used a 1-5 L</w:t>
      </w:r>
      <w:bookmarkStart w:id="0" w:name="_GoBack"/>
      <w:bookmarkEnd w:id="0"/>
      <w:r w:rsidRPr="006202BC">
        <w:rPr>
          <w:rFonts w:ascii="Arial" w:eastAsia="Arial" w:hAnsi="Arial" w:cs="Arial"/>
          <w:sz w:val="20"/>
          <w:szCs w:val="20"/>
        </w:rPr>
        <w:t>ikert-type scale ranging from "Strongly Disagree" to "Strongly Agree" with an open-ended "comments" item at the end of the survey for respondents to enter any comments and/or suggestions for future boot camps.</w:t>
      </w:r>
    </w:p>
    <w:p w:rsidR="00A47F94" w:rsidRPr="006202BC" w:rsidRDefault="00A47F94" w:rsidP="00D57F63">
      <w:pPr>
        <w:spacing w:line="240" w:lineRule="exact"/>
        <w:jc w:val="both"/>
        <w:rPr>
          <w:rFonts w:ascii="Arial" w:eastAsia="Arial" w:hAnsi="Arial" w:cs="Arial"/>
          <w:sz w:val="20"/>
          <w:szCs w:val="20"/>
        </w:rPr>
      </w:pPr>
    </w:p>
    <w:p w:rsidR="00A47F94" w:rsidRPr="006202BC" w:rsidRDefault="00A47F94" w:rsidP="00D57F63">
      <w:pPr>
        <w:spacing w:line="240" w:lineRule="exact"/>
        <w:jc w:val="both"/>
        <w:rPr>
          <w:rFonts w:ascii="Arial" w:eastAsia="Arial" w:hAnsi="Arial" w:cs="Arial"/>
          <w:sz w:val="20"/>
          <w:szCs w:val="20"/>
        </w:rPr>
      </w:pPr>
      <w:r w:rsidRPr="006202BC">
        <w:rPr>
          <w:rFonts w:ascii="Arial" w:eastAsia="Arial" w:hAnsi="Arial" w:cs="Arial"/>
          <w:sz w:val="20"/>
          <w:szCs w:val="20"/>
        </w:rPr>
        <w:t>The de-identified pre- and post-boot camp survey data from both OB/GYN cohorts were entered by the analyst author (WDC) into an S.P.S.S. version 22 data set for comparative descriptive analyses.</w:t>
      </w:r>
    </w:p>
    <w:p w:rsidR="00A47F94" w:rsidRPr="006202BC" w:rsidRDefault="00A47F94" w:rsidP="00D57F63">
      <w:pPr>
        <w:spacing w:line="240" w:lineRule="exact"/>
        <w:jc w:val="both"/>
        <w:rPr>
          <w:rFonts w:ascii="Arial" w:eastAsia="Arial" w:hAnsi="Arial" w:cs="Arial"/>
          <w:sz w:val="18"/>
          <w:szCs w:val="18"/>
        </w:rPr>
      </w:pPr>
    </w:p>
    <w:p w:rsidR="00A47F94" w:rsidRPr="006202BC" w:rsidRDefault="00A47F94" w:rsidP="00D57F63">
      <w:pPr>
        <w:spacing w:line="240" w:lineRule="exact"/>
        <w:rPr>
          <w:rFonts w:ascii="Arial" w:eastAsia="Arial" w:hAnsi="Arial" w:cs="Arial"/>
          <w:b/>
          <w:bCs/>
          <w:sz w:val="24"/>
        </w:rPr>
      </w:pPr>
      <w:r w:rsidRPr="006202BC">
        <w:rPr>
          <w:rFonts w:ascii="Arial" w:eastAsia="Arial" w:hAnsi="Arial" w:cs="Arial"/>
          <w:b/>
          <w:bCs/>
          <w:sz w:val="24"/>
        </w:rPr>
        <w:t>RESULTS</w:t>
      </w:r>
    </w:p>
    <w:p w:rsidR="00A47F94" w:rsidRPr="006202BC" w:rsidRDefault="00A47F94" w:rsidP="00D57F63">
      <w:pPr>
        <w:spacing w:line="240" w:lineRule="exact"/>
        <w:jc w:val="both"/>
        <w:rPr>
          <w:rFonts w:ascii="Arial" w:eastAsia="Arial" w:hAnsi="Arial" w:cs="Arial"/>
          <w:sz w:val="20"/>
          <w:szCs w:val="20"/>
        </w:rPr>
      </w:pPr>
    </w:p>
    <w:p w:rsidR="001B66EE" w:rsidRPr="006202BC" w:rsidRDefault="00A47F94" w:rsidP="00D57F63">
      <w:pPr>
        <w:spacing w:line="240" w:lineRule="exact"/>
        <w:jc w:val="both"/>
        <w:rPr>
          <w:rFonts w:ascii="Arial" w:eastAsia="Arial" w:hAnsi="Arial" w:cs="Arial"/>
          <w:sz w:val="20"/>
          <w:szCs w:val="20"/>
        </w:rPr>
      </w:pPr>
      <w:r w:rsidRPr="006202BC">
        <w:rPr>
          <w:rFonts w:ascii="Arial" w:eastAsia="Arial" w:hAnsi="Arial" w:cs="Arial"/>
          <w:sz w:val="20"/>
          <w:szCs w:val="20"/>
        </w:rPr>
        <w:t>Complete pre- and post-boot camp OB/GYN practice skills confidence and knowledge ratings data were obtained from a total of 45 resident respondents, 33 from the 2014 boot camp and an additional 12 respondents from the 2015 boot camp. Quantitative survey item data required only a minor amount of cleaning. A total of 28 open-ended qualitative comments or suggestions written in by residents were also entered into word processing software.</w:t>
      </w:r>
    </w:p>
    <w:p w:rsidR="00A47F94" w:rsidRPr="006202BC" w:rsidRDefault="00A47F94" w:rsidP="000E5B8C">
      <w:pPr>
        <w:spacing w:line="240" w:lineRule="exact"/>
        <w:jc w:val="both"/>
        <w:rPr>
          <w:rFonts w:ascii="Arial" w:eastAsia="Arial" w:hAnsi="Arial" w:cs="Arial"/>
          <w:sz w:val="20"/>
          <w:szCs w:val="20"/>
        </w:rPr>
      </w:pPr>
    </w:p>
    <w:p w:rsidR="001B66EE" w:rsidRPr="006202BC" w:rsidRDefault="001B66EE" w:rsidP="00E46B0A">
      <w:pPr>
        <w:keepNext/>
        <w:jc w:val="both"/>
        <w:rPr>
          <w:rFonts w:ascii="Arial" w:eastAsia="Arial" w:hAnsi="Arial" w:cs="Arial"/>
          <w:sz w:val="20"/>
          <w:szCs w:val="20"/>
        </w:rPr>
      </w:pPr>
      <w:r w:rsidRPr="006202BC">
        <w:rPr>
          <w:rFonts w:ascii="Arial" w:eastAsia="Arial" w:hAnsi="Arial" w:cs="Arial"/>
          <w:noProof/>
          <w:sz w:val="20"/>
          <w:szCs w:val="20"/>
        </w:rPr>
        <w:drawing>
          <wp:inline distT="0" distB="0" distL="0" distR="0">
            <wp:extent cx="2762250" cy="1011995"/>
            <wp:effectExtent l="0" t="0" r="0" b="0"/>
            <wp:docPr id="4" name="Picture 4" descr="C:\Users\Administrator\Downloads\3968546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istrator\Downloads\3968546_ori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3765" cy="1019877"/>
                    </a:xfrm>
                    <a:prstGeom prst="rect">
                      <a:avLst/>
                    </a:prstGeom>
                    <a:noFill/>
                    <a:ln>
                      <a:noFill/>
                    </a:ln>
                  </pic:spPr>
                </pic:pic>
              </a:graphicData>
            </a:graphic>
          </wp:inline>
        </w:drawing>
      </w:r>
    </w:p>
    <w:p w:rsidR="001B66EE" w:rsidRPr="006202BC" w:rsidRDefault="000E5B8C" w:rsidP="000E5B8C">
      <w:pPr>
        <w:pStyle w:val="Caption"/>
        <w:spacing w:after="0" w:line="240" w:lineRule="exact"/>
        <w:jc w:val="both"/>
        <w:rPr>
          <w:rFonts w:ascii="Arial" w:hAnsi="Arial" w:cs="Arial"/>
          <w:color w:val="000000" w:themeColor="text1"/>
          <w:sz w:val="20"/>
          <w:szCs w:val="20"/>
        </w:rPr>
      </w:pPr>
      <w:r w:rsidRPr="006202BC">
        <w:rPr>
          <w:rFonts w:ascii="Arial" w:hAnsi="Arial" w:cs="Arial"/>
          <w:color w:val="000000" w:themeColor="text1"/>
          <w:sz w:val="20"/>
          <w:szCs w:val="20"/>
        </w:rPr>
        <w:t xml:space="preserve">Figure </w:t>
      </w:r>
      <w:r w:rsidRPr="006202BC">
        <w:rPr>
          <w:rFonts w:ascii="Arial" w:hAnsi="Arial" w:cs="Arial"/>
          <w:color w:val="000000" w:themeColor="text1"/>
          <w:sz w:val="20"/>
          <w:szCs w:val="20"/>
        </w:rPr>
        <w:fldChar w:fldCharType="begin"/>
      </w:r>
      <w:r w:rsidRPr="006202BC">
        <w:rPr>
          <w:rFonts w:ascii="Arial" w:hAnsi="Arial" w:cs="Arial"/>
          <w:color w:val="000000" w:themeColor="text1"/>
          <w:sz w:val="20"/>
          <w:szCs w:val="20"/>
        </w:rPr>
        <w:instrText xml:space="preserve"> SEQ Figure \* ARABIC </w:instrText>
      </w:r>
      <w:r w:rsidRPr="006202BC">
        <w:rPr>
          <w:rFonts w:ascii="Arial" w:hAnsi="Arial" w:cs="Arial"/>
          <w:color w:val="000000" w:themeColor="text1"/>
          <w:sz w:val="20"/>
          <w:szCs w:val="20"/>
        </w:rPr>
        <w:fldChar w:fldCharType="separate"/>
      </w:r>
      <w:r w:rsidRPr="006202BC">
        <w:rPr>
          <w:rFonts w:ascii="Arial" w:hAnsi="Arial" w:cs="Arial"/>
          <w:noProof/>
          <w:color w:val="000000" w:themeColor="text1"/>
          <w:sz w:val="20"/>
          <w:szCs w:val="20"/>
        </w:rPr>
        <w:t>1</w:t>
      </w:r>
      <w:r w:rsidRPr="006202BC">
        <w:rPr>
          <w:rFonts w:ascii="Arial" w:hAnsi="Arial" w:cs="Arial"/>
          <w:color w:val="000000" w:themeColor="text1"/>
          <w:sz w:val="20"/>
          <w:szCs w:val="20"/>
        </w:rPr>
        <w:fldChar w:fldCharType="end"/>
      </w:r>
      <w:r w:rsidRPr="006202BC">
        <w:rPr>
          <w:rFonts w:ascii="Arial" w:hAnsi="Arial" w:cs="Arial"/>
          <w:color w:val="000000" w:themeColor="text1"/>
          <w:sz w:val="20"/>
          <w:szCs w:val="20"/>
        </w:rPr>
        <w:t>: Environmental solution</w:t>
      </w:r>
    </w:p>
    <w:p w:rsidR="000E5B8C" w:rsidRPr="006202BC" w:rsidRDefault="000E5B8C" w:rsidP="000E5B8C">
      <w:pPr>
        <w:rPr>
          <w:rFonts w:ascii="Arial" w:hAnsi="Arial" w:cs="Arial"/>
        </w:rPr>
      </w:pPr>
    </w:p>
    <w:p w:rsidR="004129C5" w:rsidRPr="006202BC" w:rsidRDefault="00A47F94" w:rsidP="000E5B8C">
      <w:pPr>
        <w:spacing w:line="240" w:lineRule="exact"/>
        <w:jc w:val="both"/>
        <w:rPr>
          <w:rFonts w:ascii="Arial" w:eastAsia="Arial" w:hAnsi="Arial" w:cs="Arial"/>
          <w:sz w:val="20"/>
          <w:szCs w:val="20"/>
        </w:rPr>
      </w:pPr>
      <w:r w:rsidRPr="006202BC">
        <w:rPr>
          <w:rFonts w:ascii="Arial" w:eastAsia="Arial" w:hAnsi="Arial" w:cs="Arial"/>
          <w:sz w:val="20"/>
          <w:szCs w:val="20"/>
        </w:rPr>
        <w:t>Since the earlier time of predominant master-apprentice type GME relationships, more residency program educators have developed various forms of boot camps to ease incoming resident learners into</w:t>
      </w:r>
      <w:r w:rsidR="001B66EE" w:rsidRPr="006202BC">
        <w:rPr>
          <w:rFonts w:ascii="Arial" w:eastAsia="Arial" w:hAnsi="Arial" w:cs="Arial"/>
          <w:sz w:val="20"/>
          <w:szCs w:val="20"/>
        </w:rPr>
        <w:t>.</w:t>
      </w:r>
    </w:p>
    <w:p w:rsidR="00E46B0A" w:rsidRPr="006202BC" w:rsidRDefault="00E46B0A" w:rsidP="000E5B8C">
      <w:pPr>
        <w:spacing w:line="240" w:lineRule="exact"/>
        <w:jc w:val="both"/>
        <w:rPr>
          <w:rFonts w:ascii="Arial" w:eastAsia="Arial" w:hAnsi="Arial" w:cs="Arial"/>
          <w:sz w:val="20"/>
          <w:szCs w:val="20"/>
        </w:rPr>
      </w:pPr>
    </w:p>
    <w:p w:rsidR="00E46B0A" w:rsidRPr="006202BC" w:rsidRDefault="00E46B0A" w:rsidP="00E46B0A">
      <w:pPr>
        <w:spacing w:line="240" w:lineRule="exact"/>
        <w:jc w:val="both"/>
        <w:rPr>
          <w:rFonts w:ascii="Arial" w:eastAsia="Arial" w:hAnsi="Arial" w:cs="Arial"/>
          <w:b/>
          <w:sz w:val="20"/>
          <w:szCs w:val="20"/>
        </w:rPr>
      </w:pPr>
      <w:r w:rsidRPr="006202BC">
        <w:rPr>
          <w:rFonts w:ascii="Arial" w:eastAsia="Arial" w:hAnsi="Arial" w:cs="Arial"/>
          <w:b/>
          <w:sz w:val="20"/>
          <w:szCs w:val="20"/>
        </w:rPr>
        <w:t>Outcomes</w:t>
      </w:r>
    </w:p>
    <w:p w:rsidR="00E46B0A" w:rsidRPr="006202BC" w:rsidRDefault="00E46B0A" w:rsidP="00E46B0A">
      <w:pPr>
        <w:spacing w:line="240" w:lineRule="exact"/>
        <w:jc w:val="both"/>
        <w:rPr>
          <w:rFonts w:ascii="Arial" w:eastAsia="Arial" w:hAnsi="Arial" w:cs="Arial"/>
          <w:b/>
          <w:sz w:val="20"/>
          <w:szCs w:val="20"/>
        </w:rPr>
      </w:pPr>
    </w:p>
    <w:p w:rsidR="00E46B0A" w:rsidRPr="006202BC" w:rsidRDefault="00E46B0A" w:rsidP="00E46B0A">
      <w:pPr>
        <w:spacing w:line="240" w:lineRule="exact"/>
        <w:jc w:val="both"/>
        <w:rPr>
          <w:rFonts w:ascii="Arial" w:eastAsia="Arial" w:hAnsi="Arial" w:cs="Arial"/>
          <w:sz w:val="20"/>
          <w:szCs w:val="20"/>
        </w:rPr>
      </w:pPr>
      <w:r w:rsidRPr="006202BC">
        <w:rPr>
          <w:rFonts w:ascii="Arial" w:eastAsia="Arial" w:hAnsi="Arial" w:cs="Arial"/>
          <w:sz w:val="20"/>
          <w:szCs w:val="20"/>
        </w:rPr>
        <w:t>For over 25 years, the Statewide Campus System14 (SCS) in the Michigan State University College of Osteopathic Medicine has coordinated the educational offerings for resident physicians and faculty across the state. The SCS currently serves over 190 community-based residency programs in 37 affiliated healthcare systems. In 2014, the SCS-affiliated clinician authors of this paper (JDP, DB, SF) initiated a five-day Obstetrics &amp; Gynecology (OB/ GYN) skills and competency boot camp in an effort to better prepare a sample of 32 first-year resident learners from 13 osteopathic-oriented Michigan programs.</w:t>
      </w:r>
    </w:p>
    <w:p w:rsidR="00E46B0A" w:rsidRPr="006202BC" w:rsidRDefault="00E46B0A" w:rsidP="00E46B0A">
      <w:pPr>
        <w:spacing w:line="240" w:lineRule="exact"/>
        <w:jc w:val="both"/>
        <w:rPr>
          <w:rFonts w:ascii="Arial" w:eastAsia="Arial" w:hAnsi="Arial" w:cs="Arial"/>
          <w:sz w:val="20"/>
          <w:szCs w:val="20"/>
        </w:rPr>
      </w:pPr>
    </w:p>
    <w:p w:rsidR="00E46B0A" w:rsidRPr="006202BC" w:rsidRDefault="00E46B0A" w:rsidP="00E46B0A">
      <w:pPr>
        <w:pStyle w:val="Caption"/>
        <w:spacing w:after="0" w:line="240" w:lineRule="exact"/>
        <w:rPr>
          <w:rFonts w:ascii="Arial" w:hAnsi="Arial" w:cs="Arial"/>
          <w:color w:val="000000" w:themeColor="text1"/>
          <w:sz w:val="20"/>
          <w:szCs w:val="20"/>
        </w:rPr>
      </w:pPr>
      <w:bookmarkStart w:id="1" w:name="OLE_LINK1"/>
      <w:r w:rsidRPr="006202BC">
        <w:rPr>
          <w:rFonts w:ascii="Arial" w:hAnsi="Arial" w:cs="Arial"/>
          <w:color w:val="000000" w:themeColor="text1"/>
          <w:sz w:val="20"/>
          <w:szCs w:val="20"/>
        </w:rPr>
        <w:t xml:space="preserve">Table </w:t>
      </w:r>
      <w:r w:rsidRPr="006202BC">
        <w:rPr>
          <w:rFonts w:ascii="Arial" w:hAnsi="Arial" w:cs="Arial"/>
          <w:color w:val="000000" w:themeColor="text1"/>
          <w:sz w:val="20"/>
          <w:szCs w:val="20"/>
        </w:rPr>
        <w:fldChar w:fldCharType="begin"/>
      </w:r>
      <w:r w:rsidRPr="006202BC">
        <w:rPr>
          <w:rFonts w:ascii="Arial" w:hAnsi="Arial" w:cs="Arial"/>
          <w:color w:val="000000" w:themeColor="text1"/>
          <w:sz w:val="20"/>
          <w:szCs w:val="20"/>
        </w:rPr>
        <w:instrText xml:space="preserve"> SEQ Table \* ARABIC </w:instrText>
      </w:r>
      <w:r w:rsidRPr="006202BC">
        <w:rPr>
          <w:rFonts w:ascii="Arial" w:hAnsi="Arial" w:cs="Arial"/>
          <w:color w:val="000000" w:themeColor="text1"/>
          <w:sz w:val="20"/>
          <w:szCs w:val="20"/>
        </w:rPr>
        <w:fldChar w:fldCharType="separate"/>
      </w:r>
      <w:r w:rsidRPr="006202BC">
        <w:rPr>
          <w:rFonts w:ascii="Arial" w:hAnsi="Arial" w:cs="Arial"/>
          <w:noProof/>
          <w:color w:val="000000" w:themeColor="text1"/>
          <w:sz w:val="20"/>
          <w:szCs w:val="20"/>
        </w:rPr>
        <w:t>1</w:t>
      </w:r>
      <w:r w:rsidRPr="006202BC">
        <w:rPr>
          <w:rFonts w:ascii="Arial" w:hAnsi="Arial" w:cs="Arial"/>
          <w:color w:val="000000" w:themeColor="text1"/>
          <w:sz w:val="20"/>
          <w:szCs w:val="20"/>
        </w:rPr>
        <w:fldChar w:fldCharType="end"/>
      </w:r>
      <w:r w:rsidRPr="006202BC">
        <w:rPr>
          <w:rFonts w:ascii="Arial" w:hAnsi="Arial" w:cs="Arial"/>
          <w:color w:val="000000" w:themeColor="text1"/>
          <w:sz w:val="20"/>
          <w:szCs w:val="20"/>
        </w:rPr>
        <w:t>: Table Title – A brief descriptive title of the table</w:t>
      </w:r>
    </w:p>
    <w:p w:rsidR="00E46B0A" w:rsidRPr="006202BC" w:rsidRDefault="00E46B0A" w:rsidP="00E46B0A">
      <w:pPr>
        <w:pStyle w:val="Caption"/>
        <w:spacing w:after="0" w:line="240" w:lineRule="exact"/>
        <w:rPr>
          <w:rFonts w:ascii="Arial" w:hAnsi="Arial" w:cs="Arial"/>
          <w:color w:val="000000" w:themeColor="text1"/>
          <w:sz w:val="20"/>
          <w:szCs w:val="20"/>
        </w:rPr>
      </w:pPr>
      <w:r w:rsidRPr="006202BC">
        <w:rPr>
          <w:rFonts w:ascii="Arial" w:hAnsi="Arial" w:cs="Arial"/>
          <w:color w:val="000000" w:themeColor="text1"/>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850"/>
        <w:gridCol w:w="849"/>
        <w:gridCol w:w="850"/>
        <w:gridCol w:w="850"/>
      </w:tblGrid>
      <w:tr w:rsidR="006202BC" w:rsidRPr="006202BC" w:rsidTr="00C86AE8">
        <w:trPr>
          <w:trHeight w:val="106"/>
        </w:trPr>
        <w:tc>
          <w:tcPr>
            <w:tcW w:w="849" w:type="dxa"/>
            <w:tcBorders>
              <w:top w:val="single" w:sz="4" w:space="0" w:color="auto"/>
              <w:left w:val="single" w:sz="4" w:space="0" w:color="auto"/>
              <w:bottom w:val="single" w:sz="4" w:space="0" w:color="auto"/>
              <w:right w:val="single" w:sz="4" w:space="0" w:color="auto"/>
            </w:tcBorders>
          </w:tcPr>
          <w:p w:rsidR="00E46B0A" w:rsidRPr="006202BC" w:rsidRDefault="00E46B0A" w:rsidP="00556E6D">
            <w:pPr>
              <w:autoSpaceDE w:val="0"/>
              <w:autoSpaceDN w:val="0"/>
              <w:adjustRightInd w:val="0"/>
              <w:spacing w:line="240" w:lineRule="exact"/>
              <w:rPr>
                <w:rFonts w:ascii="Arial" w:hAnsi="Arial" w:cs="Arial"/>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tcPr>
          <w:p w:rsidR="00E46B0A" w:rsidRPr="006202BC" w:rsidRDefault="00E46B0A" w:rsidP="00556E6D">
            <w:pPr>
              <w:autoSpaceDE w:val="0"/>
              <w:autoSpaceDN w:val="0"/>
              <w:adjustRightInd w:val="0"/>
              <w:spacing w:line="240" w:lineRule="exact"/>
              <w:rPr>
                <w:rFonts w:ascii="Arial" w:hAnsi="Arial" w:cs="Arial"/>
                <w:color w:val="000000" w:themeColor="text1"/>
                <w:sz w:val="20"/>
                <w:szCs w:val="20"/>
              </w:rPr>
            </w:pPr>
          </w:p>
        </w:tc>
        <w:tc>
          <w:tcPr>
            <w:tcW w:w="849" w:type="dxa"/>
            <w:tcBorders>
              <w:top w:val="single" w:sz="4" w:space="0" w:color="auto"/>
              <w:left w:val="single" w:sz="4" w:space="0" w:color="auto"/>
              <w:bottom w:val="single" w:sz="4" w:space="0" w:color="auto"/>
              <w:right w:val="single" w:sz="4" w:space="0" w:color="auto"/>
            </w:tcBorders>
          </w:tcPr>
          <w:p w:rsidR="00E46B0A" w:rsidRPr="006202BC" w:rsidRDefault="00E46B0A" w:rsidP="00556E6D">
            <w:pPr>
              <w:autoSpaceDE w:val="0"/>
              <w:autoSpaceDN w:val="0"/>
              <w:adjustRightInd w:val="0"/>
              <w:spacing w:line="240" w:lineRule="exact"/>
              <w:rPr>
                <w:rFonts w:ascii="Arial" w:hAnsi="Arial" w:cs="Arial"/>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tcPr>
          <w:p w:rsidR="00E46B0A" w:rsidRPr="006202BC" w:rsidRDefault="00E46B0A" w:rsidP="00556E6D">
            <w:pPr>
              <w:autoSpaceDE w:val="0"/>
              <w:autoSpaceDN w:val="0"/>
              <w:adjustRightInd w:val="0"/>
              <w:spacing w:line="240" w:lineRule="exact"/>
              <w:rPr>
                <w:rFonts w:ascii="Arial" w:hAnsi="Arial" w:cs="Arial"/>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tcPr>
          <w:p w:rsidR="00E46B0A" w:rsidRPr="006202BC" w:rsidRDefault="00E46B0A" w:rsidP="00556E6D">
            <w:pPr>
              <w:autoSpaceDE w:val="0"/>
              <w:autoSpaceDN w:val="0"/>
              <w:adjustRightInd w:val="0"/>
              <w:spacing w:line="240" w:lineRule="exact"/>
              <w:rPr>
                <w:rFonts w:ascii="Arial" w:hAnsi="Arial" w:cs="Arial"/>
                <w:color w:val="000000" w:themeColor="text1"/>
                <w:sz w:val="20"/>
                <w:szCs w:val="20"/>
              </w:rPr>
            </w:pPr>
          </w:p>
        </w:tc>
      </w:tr>
      <w:tr w:rsidR="006202BC" w:rsidRPr="006202BC" w:rsidTr="00C86AE8">
        <w:trPr>
          <w:trHeight w:val="106"/>
        </w:trPr>
        <w:tc>
          <w:tcPr>
            <w:tcW w:w="849" w:type="dxa"/>
            <w:tcBorders>
              <w:top w:val="single" w:sz="4" w:space="0" w:color="auto"/>
              <w:left w:val="single" w:sz="4" w:space="0" w:color="auto"/>
              <w:bottom w:val="single" w:sz="4" w:space="0" w:color="auto"/>
              <w:right w:val="single" w:sz="4" w:space="0" w:color="auto"/>
            </w:tcBorders>
          </w:tcPr>
          <w:p w:rsidR="00E46B0A" w:rsidRPr="006202BC" w:rsidRDefault="00E46B0A" w:rsidP="00556E6D">
            <w:pPr>
              <w:autoSpaceDE w:val="0"/>
              <w:autoSpaceDN w:val="0"/>
              <w:adjustRightInd w:val="0"/>
              <w:spacing w:line="240" w:lineRule="exact"/>
              <w:rPr>
                <w:rFonts w:ascii="Arial" w:hAnsi="Arial" w:cs="Arial"/>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tcPr>
          <w:p w:rsidR="00E46B0A" w:rsidRPr="006202BC" w:rsidRDefault="00E46B0A" w:rsidP="00556E6D">
            <w:pPr>
              <w:autoSpaceDE w:val="0"/>
              <w:autoSpaceDN w:val="0"/>
              <w:adjustRightInd w:val="0"/>
              <w:spacing w:line="240" w:lineRule="exact"/>
              <w:rPr>
                <w:rFonts w:ascii="Arial" w:hAnsi="Arial" w:cs="Arial"/>
                <w:color w:val="000000" w:themeColor="text1"/>
                <w:sz w:val="20"/>
                <w:szCs w:val="20"/>
              </w:rPr>
            </w:pPr>
          </w:p>
        </w:tc>
        <w:tc>
          <w:tcPr>
            <w:tcW w:w="849" w:type="dxa"/>
            <w:tcBorders>
              <w:top w:val="single" w:sz="4" w:space="0" w:color="auto"/>
              <w:left w:val="single" w:sz="4" w:space="0" w:color="auto"/>
              <w:bottom w:val="single" w:sz="4" w:space="0" w:color="auto"/>
              <w:right w:val="single" w:sz="4" w:space="0" w:color="auto"/>
            </w:tcBorders>
          </w:tcPr>
          <w:p w:rsidR="00E46B0A" w:rsidRPr="006202BC" w:rsidRDefault="00E46B0A" w:rsidP="00556E6D">
            <w:pPr>
              <w:autoSpaceDE w:val="0"/>
              <w:autoSpaceDN w:val="0"/>
              <w:adjustRightInd w:val="0"/>
              <w:spacing w:line="240" w:lineRule="exact"/>
              <w:rPr>
                <w:rFonts w:ascii="Arial" w:hAnsi="Arial" w:cs="Arial"/>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tcPr>
          <w:p w:rsidR="00E46B0A" w:rsidRPr="006202BC" w:rsidRDefault="00E46B0A" w:rsidP="00556E6D">
            <w:pPr>
              <w:autoSpaceDE w:val="0"/>
              <w:autoSpaceDN w:val="0"/>
              <w:adjustRightInd w:val="0"/>
              <w:spacing w:line="240" w:lineRule="exact"/>
              <w:rPr>
                <w:rFonts w:ascii="Arial" w:hAnsi="Arial" w:cs="Arial"/>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tcPr>
          <w:p w:rsidR="00E46B0A" w:rsidRPr="006202BC" w:rsidRDefault="00E46B0A" w:rsidP="00556E6D">
            <w:pPr>
              <w:autoSpaceDE w:val="0"/>
              <w:autoSpaceDN w:val="0"/>
              <w:adjustRightInd w:val="0"/>
              <w:spacing w:line="240" w:lineRule="exact"/>
              <w:rPr>
                <w:rFonts w:ascii="Arial" w:hAnsi="Arial" w:cs="Arial"/>
                <w:color w:val="000000" w:themeColor="text1"/>
                <w:sz w:val="20"/>
                <w:szCs w:val="20"/>
              </w:rPr>
            </w:pPr>
          </w:p>
        </w:tc>
      </w:tr>
      <w:tr w:rsidR="006202BC" w:rsidRPr="006202BC" w:rsidTr="00C86AE8">
        <w:trPr>
          <w:trHeight w:val="106"/>
        </w:trPr>
        <w:tc>
          <w:tcPr>
            <w:tcW w:w="849" w:type="dxa"/>
            <w:tcBorders>
              <w:top w:val="single" w:sz="4" w:space="0" w:color="auto"/>
              <w:left w:val="single" w:sz="4" w:space="0" w:color="auto"/>
              <w:bottom w:val="single" w:sz="4" w:space="0" w:color="auto"/>
              <w:right w:val="single" w:sz="4" w:space="0" w:color="auto"/>
            </w:tcBorders>
          </w:tcPr>
          <w:p w:rsidR="00E46B0A" w:rsidRPr="006202BC" w:rsidRDefault="00E46B0A" w:rsidP="00556E6D">
            <w:pPr>
              <w:autoSpaceDE w:val="0"/>
              <w:autoSpaceDN w:val="0"/>
              <w:adjustRightInd w:val="0"/>
              <w:spacing w:line="240" w:lineRule="exact"/>
              <w:rPr>
                <w:rFonts w:ascii="Arial" w:hAnsi="Arial" w:cs="Arial"/>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tcPr>
          <w:p w:rsidR="00E46B0A" w:rsidRPr="006202BC" w:rsidRDefault="00E46B0A" w:rsidP="00556E6D">
            <w:pPr>
              <w:autoSpaceDE w:val="0"/>
              <w:autoSpaceDN w:val="0"/>
              <w:adjustRightInd w:val="0"/>
              <w:spacing w:line="240" w:lineRule="exact"/>
              <w:rPr>
                <w:rFonts w:ascii="Arial" w:hAnsi="Arial" w:cs="Arial"/>
                <w:color w:val="000000" w:themeColor="text1"/>
                <w:sz w:val="20"/>
                <w:szCs w:val="20"/>
              </w:rPr>
            </w:pPr>
          </w:p>
        </w:tc>
        <w:tc>
          <w:tcPr>
            <w:tcW w:w="849" w:type="dxa"/>
            <w:tcBorders>
              <w:top w:val="single" w:sz="4" w:space="0" w:color="auto"/>
              <w:left w:val="single" w:sz="4" w:space="0" w:color="auto"/>
              <w:bottom w:val="single" w:sz="4" w:space="0" w:color="auto"/>
              <w:right w:val="single" w:sz="4" w:space="0" w:color="auto"/>
            </w:tcBorders>
          </w:tcPr>
          <w:p w:rsidR="00E46B0A" w:rsidRPr="006202BC" w:rsidRDefault="00E46B0A" w:rsidP="00556E6D">
            <w:pPr>
              <w:autoSpaceDE w:val="0"/>
              <w:autoSpaceDN w:val="0"/>
              <w:adjustRightInd w:val="0"/>
              <w:spacing w:line="240" w:lineRule="exact"/>
              <w:rPr>
                <w:rFonts w:ascii="Arial" w:hAnsi="Arial" w:cs="Arial"/>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tcPr>
          <w:p w:rsidR="00E46B0A" w:rsidRPr="006202BC" w:rsidRDefault="00E46B0A" w:rsidP="00556E6D">
            <w:pPr>
              <w:autoSpaceDE w:val="0"/>
              <w:autoSpaceDN w:val="0"/>
              <w:adjustRightInd w:val="0"/>
              <w:spacing w:line="240" w:lineRule="exact"/>
              <w:rPr>
                <w:rFonts w:ascii="Arial" w:hAnsi="Arial" w:cs="Arial"/>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tcPr>
          <w:p w:rsidR="00E46B0A" w:rsidRPr="006202BC" w:rsidRDefault="00E46B0A" w:rsidP="00556E6D">
            <w:pPr>
              <w:autoSpaceDE w:val="0"/>
              <w:autoSpaceDN w:val="0"/>
              <w:adjustRightInd w:val="0"/>
              <w:spacing w:line="240" w:lineRule="exact"/>
              <w:rPr>
                <w:rFonts w:ascii="Arial" w:hAnsi="Arial" w:cs="Arial"/>
                <w:color w:val="000000" w:themeColor="text1"/>
                <w:sz w:val="20"/>
                <w:szCs w:val="20"/>
              </w:rPr>
            </w:pPr>
          </w:p>
        </w:tc>
      </w:tr>
      <w:tr w:rsidR="006202BC" w:rsidRPr="006202BC" w:rsidTr="00C86AE8">
        <w:trPr>
          <w:trHeight w:val="106"/>
        </w:trPr>
        <w:tc>
          <w:tcPr>
            <w:tcW w:w="849" w:type="dxa"/>
            <w:tcBorders>
              <w:top w:val="single" w:sz="4" w:space="0" w:color="auto"/>
              <w:left w:val="single" w:sz="4" w:space="0" w:color="auto"/>
              <w:bottom w:val="single" w:sz="4" w:space="0" w:color="auto"/>
              <w:right w:val="single" w:sz="4" w:space="0" w:color="auto"/>
            </w:tcBorders>
          </w:tcPr>
          <w:p w:rsidR="00E46B0A" w:rsidRPr="006202BC" w:rsidRDefault="00E46B0A" w:rsidP="00556E6D">
            <w:pPr>
              <w:autoSpaceDE w:val="0"/>
              <w:autoSpaceDN w:val="0"/>
              <w:adjustRightInd w:val="0"/>
              <w:spacing w:line="240" w:lineRule="exact"/>
              <w:rPr>
                <w:rFonts w:ascii="Arial" w:hAnsi="Arial" w:cs="Arial"/>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tcPr>
          <w:p w:rsidR="00E46B0A" w:rsidRPr="006202BC" w:rsidRDefault="00E46B0A" w:rsidP="00556E6D">
            <w:pPr>
              <w:autoSpaceDE w:val="0"/>
              <w:autoSpaceDN w:val="0"/>
              <w:adjustRightInd w:val="0"/>
              <w:spacing w:line="240" w:lineRule="exact"/>
              <w:rPr>
                <w:rFonts w:ascii="Arial" w:hAnsi="Arial" w:cs="Arial"/>
                <w:color w:val="000000" w:themeColor="text1"/>
                <w:sz w:val="20"/>
                <w:szCs w:val="20"/>
              </w:rPr>
            </w:pPr>
          </w:p>
        </w:tc>
        <w:tc>
          <w:tcPr>
            <w:tcW w:w="849" w:type="dxa"/>
            <w:tcBorders>
              <w:top w:val="single" w:sz="4" w:space="0" w:color="auto"/>
              <w:left w:val="single" w:sz="4" w:space="0" w:color="auto"/>
              <w:bottom w:val="single" w:sz="4" w:space="0" w:color="auto"/>
              <w:right w:val="single" w:sz="4" w:space="0" w:color="auto"/>
            </w:tcBorders>
          </w:tcPr>
          <w:p w:rsidR="00E46B0A" w:rsidRPr="006202BC" w:rsidRDefault="00E46B0A" w:rsidP="00556E6D">
            <w:pPr>
              <w:autoSpaceDE w:val="0"/>
              <w:autoSpaceDN w:val="0"/>
              <w:adjustRightInd w:val="0"/>
              <w:spacing w:line="240" w:lineRule="exact"/>
              <w:rPr>
                <w:rFonts w:ascii="Arial" w:hAnsi="Arial" w:cs="Arial"/>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tcPr>
          <w:p w:rsidR="00E46B0A" w:rsidRPr="006202BC" w:rsidRDefault="00E46B0A" w:rsidP="00556E6D">
            <w:pPr>
              <w:autoSpaceDE w:val="0"/>
              <w:autoSpaceDN w:val="0"/>
              <w:adjustRightInd w:val="0"/>
              <w:spacing w:line="240" w:lineRule="exact"/>
              <w:rPr>
                <w:rFonts w:ascii="Arial" w:hAnsi="Arial" w:cs="Arial"/>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tcPr>
          <w:p w:rsidR="00E46B0A" w:rsidRPr="006202BC" w:rsidRDefault="00E46B0A" w:rsidP="00556E6D">
            <w:pPr>
              <w:autoSpaceDE w:val="0"/>
              <w:autoSpaceDN w:val="0"/>
              <w:adjustRightInd w:val="0"/>
              <w:spacing w:line="240" w:lineRule="exact"/>
              <w:rPr>
                <w:rFonts w:ascii="Arial" w:hAnsi="Arial" w:cs="Arial"/>
                <w:color w:val="000000" w:themeColor="text1"/>
                <w:sz w:val="20"/>
                <w:szCs w:val="20"/>
              </w:rPr>
            </w:pPr>
          </w:p>
        </w:tc>
      </w:tr>
      <w:tr w:rsidR="006202BC" w:rsidRPr="006202BC" w:rsidTr="00C86AE8">
        <w:trPr>
          <w:trHeight w:val="106"/>
        </w:trPr>
        <w:tc>
          <w:tcPr>
            <w:tcW w:w="849" w:type="dxa"/>
            <w:tcBorders>
              <w:top w:val="single" w:sz="4" w:space="0" w:color="auto"/>
              <w:left w:val="single" w:sz="4" w:space="0" w:color="auto"/>
              <w:bottom w:val="single" w:sz="4" w:space="0" w:color="auto"/>
              <w:right w:val="single" w:sz="4" w:space="0" w:color="auto"/>
            </w:tcBorders>
          </w:tcPr>
          <w:p w:rsidR="00E46B0A" w:rsidRPr="006202BC" w:rsidRDefault="00E46B0A" w:rsidP="00556E6D">
            <w:pPr>
              <w:autoSpaceDE w:val="0"/>
              <w:autoSpaceDN w:val="0"/>
              <w:adjustRightInd w:val="0"/>
              <w:spacing w:line="240" w:lineRule="exact"/>
              <w:rPr>
                <w:rFonts w:ascii="Arial" w:hAnsi="Arial" w:cs="Arial"/>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tcPr>
          <w:p w:rsidR="00E46B0A" w:rsidRPr="006202BC" w:rsidRDefault="00E46B0A" w:rsidP="00556E6D">
            <w:pPr>
              <w:autoSpaceDE w:val="0"/>
              <w:autoSpaceDN w:val="0"/>
              <w:adjustRightInd w:val="0"/>
              <w:spacing w:line="240" w:lineRule="exact"/>
              <w:rPr>
                <w:rFonts w:ascii="Arial" w:hAnsi="Arial" w:cs="Arial"/>
                <w:color w:val="000000" w:themeColor="text1"/>
                <w:sz w:val="20"/>
                <w:szCs w:val="20"/>
              </w:rPr>
            </w:pPr>
          </w:p>
        </w:tc>
        <w:tc>
          <w:tcPr>
            <w:tcW w:w="849" w:type="dxa"/>
            <w:tcBorders>
              <w:top w:val="single" w:sz="4" w:space="0" w:color="auto"/>
              <w:left w:val="single" w:sz="4" w:space="0" w:color="auto"/>
              <w:bottom w:val="single" w:sz="4" w:space="0" w:color="auto"/>
              <w:right w:val="single" w:sz="4" w:space="0" w:color="auto"/>
            </w:tcBorders>
          </w:tcPr>
          <w:p w:rsidR="00E46B0A" w:rsidRPr="006202BC" w:rsidRDefault="00E46B0A" w:rsidP="00556E6D">
            <w:pPr>
              <w:autoSpaceDE w:val="0"/>
              <w:autoSpaceDN w:val="0"/>
              <w:adjustRightInd w:val="0"/>
              <w:spacing w:line="240" w:lineRule="exact"/>
              <w:rPr>
                <w:rFonts w:ascii="Arial" w:hAnsi="Arial" w:cs="Arial"/>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tcPr>
          <w:p w:rsidR="00E46B0A" w:rsidRPr="006202BC" w:rsidRDefault="00E46B0A" w:rsidP="00556E6D">
            <w:pPr>
              <w:autoSpaceDE w:val="0"/>
              <w:autoSpaceDN w:val="0"/>
              <w:adjustRightInd w:val="0"/>
              <w:spacing w:line="240" w:lineRule="exact"/>
              <w:rPr>
                <w:rFonts w:ascii="Arial" w:hAnsi="Arial" w:cs="Arial"/>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tcPr>
          <w:p w:rsidR="00E46B0A" w:rsidRPr="006202BC" w:rsidRDefault="00E46B0A" w:rsidP="00556E6D">
            <w:pPr>
              <w:autoSpaceDE w:val="0"/>
              <w:autoSpaceDN w:val="0"/>
              <w:adjustRightInd w:val="0"/>
              <w:spacing w:line="240" w:lineRule="exact"/>
              <w:rPr>
                <w:rFonts w:ascii="Arial" w:hAnsi="Arial" w:cs="Arial"/>
                <w:color w:val="000000" w:themeColor="text1"/>
                <w:sz w:val="20"/>
                <w:szCs w:val="20"/>
              </w:rPr>
            </w:pPr>
          </w:p>
        </w:tc>
      </w:tr>
      <w:tr w:rsidR="006202BC" w:rsidRPr="006202BC" w:rsidTr="00C86AE8">
        <w:trPr>
          <w:trHeight w:val="106"/>
        </w:trPr>
        <w:tc>
          <w:tcPr>
            <w:tcW w:w="849" w:type="dxa"/>
            <w:tcBorders>
              <w:top w:val="single" w:sz="4" w:space="0" w:color="auto"/>
              <w:left w:val="single" w:sz="4" w:space="0" w:color="auto"/>
              <w:bottom w:val="single" w:sz="4" w:space="0" w:color="auto"/>
              <w:right w:val="single" w:sz="4" w:space="0" w:color="auto"/>
            </w:tcBorders>
          </w:tcPr>
          <w:p w:rsidR="00E46B0A" w:rsidRPr="006202BC" w:rsidRDefault="00E46B0A" w:rsidP="00556E6D">
            <w:pPr>
              <w:autoSpaceDE w:val="0"/>
              <w:autoSpaceDN w:val="0"/>
              <w:adjustRightInd w:val="0"/>
              <w:spacing w:line="240" w:lineRule="exact"/>
              <w:rPr>
                <w:rFonts w:ascii="Arial" w:hAnsi="Arial" w:cs="Arial"/>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tcPr>
          <w:p w:rsidR="00E46B0A" w:rsidRPr="006202BC" w:rsidRDefault="00E46B0A" w:rsidP="00556E6D">
            <w:pPr>
              <w:autoSpaceDE w:val="0"/>
              <w:autoSpaceDN w:val="0"/>
              <w:adjustRightInd w:val="0"/>
              <w:spacing w:line="240" w:lineRule="exact"/>
              <w:rPr>
                <w:rFonts w:ascii="Arial" w:hAnsi="Arial" w:cs="Arial"/>
                <w:color w:val="000000" w:themeColor="text1"/>
                <w:sz w:val="20"/>
                <w:szCs w:val="20"/>
              </w:rPr>
            </w:pPr>
          </w:p>
        </w:tc>
        <w:tc>
          <w:tcPr>
            <w:tcW w:w="849" w:type="dxa"/>
            <w:tcBorders>
              <w:top w:val="single" w:sz="4" w:space="0" w:color="auto"/>
              <w:left w:val="single" w:sz="4" w:space="0" w:color="auto"/>
              <w:bottom w:val="single" w:sz="4" w:space="0" w:color="auto"/>
              <w:right w:val="single" w:sz="4" w:space="0" w:color="auto"/>
            </w:tcBorders>
          </w:tcPr>
          <w:p w:rsidR="00E46B0A" w:rsidRPr="006202BC" w:rsidRDefault="00E46B0A" w:rsidP="00556E6D">
            <w:pPr>
              <w:autoSpaceDE w:val="0"/>
              <w:autoSpaceDN w:val="0"/>
              <w:adjustRightInd w:val="0"/>
              <w:spacing w:line="240" w:lineRule="exact"/>
              <w:rPr>
                <w:rFonts w:ascii="Arial" w:hAnsi="Arial" w:cs="Arial"/>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tcPr>
          <w:p w:rsidR="00E46B0A" w:rsidRPr="006202BC" w:rsidRDefault="00E46B0A" w:rsidP="00556E6D">
            <w:pPr>
              <w:autoSpaceDE w:val="0"/>
              <w:autoSpaceDN w:val="0"/>
              <w:adjustRightInd w:val="0"/>
              <w:spacing w:line="240" w:lineRule="exact"/>
              <w:rPr>
                <w:rFonts w:ascii="Arial" w:hAnsi="Arial" w:cs="Arial"/>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tcPr>
          <w:p w:rsidR="00E46B0A" w:rsidRPr="006202BC" w:rsidRDefault="00E46B0A" w:rsidP="00556E6D">
            <w:pPr>
              <w:autoSpaceDE w:val="0"/>
              <w:autoSpaceDN w:val="0"/>
              <w:adjustRightInd w:val="0"/>
              <w:spacing w:line="240" w:lineRule="exact"/>
              <w:rPr>
                <w:rFonts w:ascii="Arial" w:hAnsi="Arial" w:cs="Arial"/>
                <w:color w:val="000000" w:themeColor="text1"/>
                <w:sz w:val="20"/>
                <w:szCs w:val="20"/>
              </w:rPr>
            </w:pPr>
          </w:p>
        </w:tc>
      </w:tr>
      <w:bookmarkEnd w:id="1"/>
    </w:tbl>
    <w:p w:rsidR="00E46B0A" w:rsidRPr="006202BC" w:rsidRDefault="00E46B0A" w:rsidP="00E46B0A">
      <w:pPr>
        <w:autoSpaceDE w:val="0"/>
        <w:autoSpaceDN w:val="0"/>
        <w:adjustRightInd w:val="0"/>
        <w:spacing w:line="240" w:lineRule="exact"/>
        <w:rPr>
          <w:rFonts w:ascii="Arial" w:hAnsi="Arial" w:cs="Arial"/>
          <w:color w:val="000000" w:themeColor="text1"/>
          <w:sz w:val="20"/>
          <w:szCs w:val="20"/>
        </w:rPr>
      </w:pPr>
    </w:p>
    <w:p w:rsidR="00E46B0A" w:rsidRPr="006202BC" w:rsidRDefault="00E46B0A" w:rsidP="00E46B0A">
      <w:pPr>
        <w:autoSpaceDE w:val="0"/>
        <w:autoSpaceDN w:val="0"/>
        <w:adjustRightInd w:val="0"/>
        <w:spacing w:line="240" w:lineRule="exact"/>
        <w:rPr>
          <w:rFonts w:ascii="Arial" w:hAnsi="Arial" w:cs="Arial"/>
          <w:color w:val="000000" w:themeColor="text1"/>
          <w:sz w:val="20"/>
          <w:szCs w:val="20"/>
        </w:rPr>
      </w:pPr>
      <w:r w:rsidRPr="006202BC">
        <w:rPr>
          <w:rFonts w:ascii="Arial" w:hAnsi="Arial" w:cs="Arial"/>
          <w:color w:val="000000" w:themeColor="text1"/>
          <w:sz w:val="20"/>
          <w:szCs w:val="20"/>
        </w:rPr>
        <w:t xml:space="preserve">Note: List all abbreviations &amp; full terms </w:t>
      </w:r>
    </w:p>
    <w:p w:rsidR="00E46B0A" w:rsidRPr="006202BC" w:rsidRDefault="00E46B0A" w:rsidP="00E46B0A">
      <w:pPr>
        <w:tabs>
          <w:tab w:val="left" w:pos="960"/>
        </w:tabs>
        <w:spacing w:line="240" w:lineRule="exact"/>
        <w:rPr>
          <w:rFonts w:ascii="Arial" w:eastAsia="Arial" w:hAnsi="Arial" w:cs="Arial"/>
          <w:color w:val="000000" w:themeColor="text1"/>
          <w:sz w:val="20"/>
          <w:szCs w:val="20"/>
        </w:rPr>
      </w:pPr>
    </w:p>
    <w:p w:rsidR="00E46B0A" w:rsidRPr="006202BC" w:rsidRDefault="00E46B0A" w:rsidP="00E46B0A">
      <w:pPr>
        <w:spacing w:line="240" w:lineRule="exact"/>
        <w:jc w:val="both"/>
        <w:rPr>
          <w:rFonts w:ascii="Arial" w:eastAsia="Arial" w:hAnsi="Arial" w:cs="Arial"/>
          <w:sz w:val="20"/>
          <w:szCs w:val="20"/>
        </w:rPr>
      </w:pPr>
      <w:r w:rsidRPr="006202BC">
        <w:rPr>
          <w:rFonts w:ascii="Arial" w:eastAsia="Arial" w:hAnsi="Arial" w:cs="Arial"/>
          <w:sz w:val="20"/>
          <w:szCs w:val="20"/>
        </w:rPr>
        <w:t>Although the feedback from the first 2014 boot camp participants was positive, the OB/GYN authors (JDP, DB, SF) felt that it may be prudent to shorten the 2015 boot camp based on the logistical (e.g., resident and faculty schedules, venue costs, etc.) complexities of delivering the longer event for learners from across the state. After reviewing the boot camp content, it was determined they could cover the same content in three days specifically by minimizing content duplication.</w:t>
      </w:r>
    </w:p>
    <w:p w:rsidR="004129C5" w:rsidRPr="006202BC" w:rsidRDefault="004129C5" w:rsidP="001B66EE">
      <w:pPr>
        <w:jc w:val="both"/>
        <w:rPr>
          <w:rFonts w:ascii="Arial" w:eastAsia="Arial" w:hAnsi="Arial" w:cs="Arial"/>
          <w:sz w:val="20"/>
          <w:szCs w:val="20"/>
        </w:rPr>
      </w:pPr>
    </w:p>
    <w:p w:rsidR="00287A6E" w:rsidRPr="006202BC" w:rsidRDefault="00287A6E" w:rsidP="001B66EE">
      <w:pPr>
        <w:rPr>
          <w:rFonts w:ascii="Arial" w:eastAsia="Arial" w:hAnsi="Arial" w:cs="Arial"/>
          <w:b/>
          <w:bCs/>
          <w:sz w:val="24"/>
        </w:rPr>
      </w:pPr>
      <w:r w:rsidRPr="006202BC">
        <w:rPr>
          <w:rFonts w:ascii="Arial" w:eastAsia="Arial" w:hAnsi="Arial" w:cs="Arial"/>
          <w:b/>
          <w:bCs/>
          <w:sz w:val="24"/>
        </w:rPr>
        <w:t>DISCUSSION</w:t>
      </w:r>
    </w:p>
    <w:p w:rsidR="00287A6E" w:rsidRPr="006202BC" w:rsidRDefault="00287A6E" w:rsidP="000E5B8C">
      <w:pPr>
        <w:spacing w:line="240" w:lineRule="exact"/>
        <w:rPr>
          <w:rFonts w:ascii="Arial" w:hAnsi="Arial" w:cs="Arial"/>
          <w:sz w:val="20"/>
          <w:szCs w:val="20"/>
        </w:rPr>
      </w:pPr>
    </w:p>
    <w:p w:rsidR="00287A6E" w:rsidRPr="006202BC" w:rsidRDefault="00287A6E" w:rsidP="000E5B8C">
      <w:pPr>
        <w:spacing w:line="240" w:lineRule="exact"/>
        <w:jc w:val="both"/>
        <w:rPr>
          <w:rFonts w:ascii="Arial" w:eastAsia="Arial" w:hAnsi="Arial" w:cs="Arial"/>
          <w:sz w:val="20"/>
          <w:szCs w:val="20"/>
        </w:rPr>
      </w:pPr>
      <w:r w:rsidRPr="006202BC">
        <w:rPr>
          <w:rFonts w:ascii="Arial" w:eastAsia="Arial" w:hAnsi="Arial" w:cs="Arial"/>
          <w:sz w:val="20"/>
          <w:szCs w:val="20"/>
        </w:rPr>
        <w:t>During recent years, a wide variety of sizes, types, and duration of boot camps have evolved for different types of first-year physician residents.1,3,6,10 The boot camps to date have lasted from one day to seven weeks, with a wide variation in number of hours per day, and/or days per week. Nevertheless, most reports suggest these comprise an effective tool to improve practice skills confidence and knowledge, with positive feedback from learners.11 The authors' intentions for these boot camps were to develop an effective tool for transition from medical school to an OB/GYN residency. This was considered particularly important given the typical time constraints between graduation and starting residency as earlier described.</w:t>
      </w:r>
    </w:p>
    <w:p w:rsidR="001B66EE" w:rsidRPr="006202BC" w:rsidRDefault="001B66EE" w:rsidP="000E5B8C">
      <w:pPr>
        <w:spacing w:line="240" w:lineRule="exact"/>
        <w:jc w:val="both"/>
        <w:rPr>
          <w:rFonts w:ascii="Arial" w:eastAsia="Arial" w:hAnsi="Arial" w:cs="Arial"/>
          <w:sz w:val="20"/>
          <w:szCs w:val="20"/>
        </w:rPr>
      </w:pPr>
    </w:p>
    <w:p w:rsidR="001B66EE" w:rsidRPr="006202BC" w:rsidRDefault="001B66EE" w:rsidP="000E5B8C">
      <w:pPr>
        <w:spacing w:line="240" w:lineRule="exact"/>
        <w:jc w:val="both"/>
        <w:rPr>
          <w:rFonts w:ascii="Arial" w:eastAsia="Arial" w:hAnsi="Arial" w:cs="Arial"/>
          <w:b/>
          <w:sz w:val="20"/>
          <w:szCs w:val="20"/>
        </w:rPr>
      </w:pPr>
      <w:r w:rsidRPr="006202BC">
        <w:rPr>
          <w:rFonts w:ascii="Arial" w:eastAsia="Arial" w:hAnsi="Arial" w:cs="Arial"/>
          <w:b/>
          <w:sz w:val="20"/>
          <w:szCs w:val="20"/>
        </w:rPr>
        <w:t>Qualitative Resident Comments</w:t>
      </w:r>
    </w:p>
    <w:p w:rsidR="001B66EE" w:rsidRPr="006202BC" w:rsidRDefault="001B66EE" w:rsidP="000E5B8C">
      <w:pPr>
        <w:spacing w:line="240" w:lineRule="exact"/>
        <w:jc w:val="both"/>
        <w:rPr>
          <w:rFonts w:ascii="Arial" w:eastAsia="Arial" w:hAnsi="Arial" w:cs="Arial"/>
          <w:sz w:val="20"/>
          <w:szCs w:val="20"/>
        </w:rPr>
      </w:pPr>
    </w:p>
    <w:p w:rsidR="001B66EE" w:rsidRPr="006202BC" w:rsidRDefault="001B66EE" w:rsidP="000E5B8C">
      <w:pPr>
        <w:spacing w:line="240" w:lineRule="exact"/>
        <w:jc w:val="both"/>
        <w:rPr>
          <w:rFonts w:ascii="Arial" w:eastAsia="Arial" w:hAnsi="Arial" w:cs="Arial"/>
          <w:sz w:val="20"/>
          <w:szCs w:val="20"/>
        </w:rPr>
      </w:pPr>
      <w:r w:rsidRPr="006202BC">
        <w:rPr>
          <w:rFonts w:ascii="Arial" w:eastAsia="Arial" w:hAnsi="Arial" w:cs="Arial"/>
          <w:sz w:val="20"/>
          <w:szCs w:val="20"/>
        </w:rPr>
        <w:t>A total of 28 (62.2% of complete data sample) respondents offered specific comments regarding what components of their respective boot camp they most appreciated or could be improved.</w:t>
      </w:r>
    </w:p>
    <w:p w:rsidR="001B66EE" w:rsidRPr="006202BC" w:rsidRDefault="001B66EE" w:rsidP="000E5B8C">
      <w:pPr>
        <w:spacing w:line="240" w:lineRule="exact"/>
        <w:jc w:val="both"/>
        <w:rPr>
          <w:rFonts w:ascii="Arial" w:eastAsia="Arial" w:hAnsi="Arial" w:cs="Arial"/>
          <w:sz w:val="20"/>
          <w:szCs w:val="20"/>
        </w:rPr>
      </w:pPr>
    </w:p>
    <w:p w:rsidR="001B66EE" w:rsidRPr="006202BC" w:rsidRDefault="001B66EE" w:rsidP="000E5B8C">
      <w:pPr>
        <w:spacing w:line="240" w:lineRule="exact"/>
        <w:jc w:val="both"/>
        <w:rPr>
          <w:rFonts w:ascii="Arial" w:eastAsia="Arial" w:hAnsi="Arial" w:cs="Arial"/>
          <w:sz w:val="20"/>
          <w:szCs w:val="20"/>
        </w:rPr>
      </w:pPr>
      <w:r w:rsidRPr="006202BC">
        <w:rPr>
          <w:rFonts w:ascii="Arial" w:eastAsia="Arial" w:hAnsi="Arial" w:cs="Arial"/>
          <w:sz w:val="20"/>
          <w:szCs w:val="20"/>
        </w:rPr>
        <w:t>Strengths</w:t>
      </w:r>
    </w:p>
    <w:p w:rsidR="001B66EE" w:rsidRPr="006202BC" w:rsidRDefault="001B66EE" w:rsidP="000E5B8C">
      <w:pPr>
        <w:pStyle w:val="ListParagraph"/>
        <w:numPr>
          <w:ilvl w:val="0"/>
          <w:numId w:val="3"/>
        </w:numPr>
        <w:tabs>
          <w:tab w:val="left" w:pos="284"/>
        </w:tabs>
        <w:spacing w:line="240" w:lineRule="exact"/>
        <w:ind w:left="567" w:hanging="283"/>
        <w:contextualSpacing w:val="0"/>
        <w:rPr>
          <w:rFonts w:ascii="Arial" w:eastAsia="Arial" w:hAnsi="Arial" w:cs="Arial"/>
          <w:sz w:val="20"/>
          <w:szCs w:val="20"/>
        </w:rPr>
      </w:pPr>
      <w:r w:rsidRPr="006202BC">
        <w:rPr>
          <w:rFonts w:ascii="Arial" w:eastAsia="Arial" w:hAnsi="Arial" w:cs="Arial"/>
          <w:iCs/>
          <w:sz w:val="20"/>
          <w:szCs w:val="20"/>
        </w:rPr>
        <w:t>Great hands on learning opportunities.</w:t>
      </w:r>
    </w:p>
    <w:p w:rsidR="001B66EE" w:rsidRPr="006202BC" w:rsidRDefault="001B66EE" w:rsidP="000E5B8C">
      <w:pPr>
        <w:pStyle w:val="ListParagraph"/>
        <w:numPr>
          <w:ilvl w:val="0"/>
          <w:numId w:val="3"/>
        </w:numPr>
        <w:tabs>
          <w:tab w:val="left" w:pos="284"/>
        </w:tabs>
        <w:spacing w:line="240" w:lineRule="exact"/>
        <w:ind w:left="567" w:hanging="283"/>
        <w:contextualSpacing w:val="0"/>
        <w:rPr>
          <w:rFonts w:ascii="Arial" w:eastAsia="Arial" w:hAnsi="Arial" w:cs="Arial"/>
          <w:sz w:val="20"/>
          <w:szCs w:val="20"/>
        </w:rPr>
      </w:pPr>
      <w:r w:rsidRPr="006202BC">
        <w:rPr>
          <w:rFonts w:ascii="Arial" w:eastAsia="Arial" w:hAnsi="Arial" w:cs="Arial"/>
          <w:iCs/>
          <w:sz w:val="20"/>
          <w:szCs w:val="20"/>
        </w:rPr>
        <w:t>Suturing practice every day was helpful.</w:t>
      </w:r>
    </w:p>
    <w:p w:rsidR="001B66EE" w:rsidRPr="006202BC" w:rsidRDefault="001B66EE" w:rsidP="000E5B8C">
      <w:pPr>
        <w:pStyle w:val="ListParagraph"/>
        <w:numPr>
          <w:ilvl w:val="0"/>
          <w:numId w:val="3"/>
        </w:numPr>
        <w:tabs>
          <w:tab w:val="left" w:pos="284"/>
        </w:tabs>
        <w:spacing w:line="240" w:lineRule="exact"/>
        <w:ind w:left="567" w:right="220" w:hanging="283"/>
        <w:contextualSpacing w:val="0"/>
        <w:rPr>
          <w:rFonts w:ascii="Arial" w:eastAsia="Arial" w:hAnsi="Arial" w:cs="Arial"/>
          <w:sz w:val="20"/>
          <w:szCs w:val="20"/>
        </w:rPr>
      </w:pPr>
      <w:r w:rsidRPr="006202BC">
        <w:rPr>
          <w:rFonts w:ascii="Arial" w:eastAsia="Arial" w:hAnsi="Arial" w:cs="Arial"/>
          <w:iCs/>
          <w:sz w:val="20"/>
          <w:szCs w:val="20"/>
        </w:rPr>
        <w:t>Made me less apprehensive going into intern year.</w:t>
      </w:r>
    </w:p>
    <w:p w:rsidR="001B66EE" w:rsidRPr="006202BC" w:rsidRDefault="001B66EE" w:rsidP="000E5B8C">
      <w:pPr>
        <w:pStyle w:val="ListParagraph"/>
        <w:numPr>
          <w:ilvl w:val="0"/>
          <w:numId w:val="3"/>
        </w:numPr>
        <w:tabs>
          <w:tab w:val="left" w:pos="284"/>
        </w:tabs>
        <w:spacing w:line="240" w:lineRule="exact"/>
        <w:ind w:left="567" w:hanging="283"/>
        <w:contextualSpacing w:val="0"/>
        <w:rPr>
          <w:rFonts w:ascii="Arial" w:eastAsia="Arial" w:hAnsi="Arial" w:cs="Arial"/>
          <w:sz w:val="20"/>
          <w:szCs w:val="20"/>
        </w:rPr>
      </w:pPr>
      <w:r w:rsidRPr="006202BC">
        <w:rPr>
          <w:rFonts w:ascii="Arial" w:eastAsia="Arial" w:hAnsi="Arial" w:cs="Arial"/>
          <w:iCs/>
          <w:sz w:val="20"/>
          <w:szCs w:val="20"/>
        </w:rPr>
        <w:t>Fetal monitoring course was awesome.</w:t>
      </w:r>
    </w:p>
    <w:p w:rsidR="001B66EE" w:rsidRPr="006202BC" w:rsidRDefault="001B66EE" w:rsidP="000E5B8C">
      <w:pPr>
        <w:pStyle w:val="ListParagraph"/>
        <w:numPr>
          <w:ilvl w:val="0"/>
          <w:numId w:val="3"/>
        </w:numPr>
        <w:tabs>
          <w:tab w:val="left" w:pos="284"/>
        </w:tabs>
        <w:spacing w:line="240" w:lineRule="exact"/>
        <w:ind w:left="567" w:hanging="283"/>
        <w:contextualSpacing w:val="0"/>
        <w:rPr>
          <w:rFonts w:ascii="Arial" w:eastAsia="Arial" w:hAnsi="Arial" w:cs="Arial"/>
          <w:sz w:val="20"/>
          <w:szCs w:val="20"/>
        </w:rPr>
      </w:pPr>
      <w:r w:rsidRPr="006202BC">
        <w:rPr>
          <w:rFonts w:ascii="Arial" w:eastAsia="Arial" w:hAnsi="Arial" w:cs="Arial"/>
          <w:iCs/>
          <w:sz w:val="20"/>
          <w:szCs w:val="20"/>
        </w:rPr>
        <w:t>Great review of instruments.</w:t>
      </w:r>
    </w:p>
    <w:p w:rsidR="001B66EE" w:rsidRPr="006202BC" w:rsidRDefault="001B66EE" w:rsidP="000E5B8C">
      <w:pPr>
        <w:pStyle w:val="ListParagraph"/>
        <w:numPr>
          <w:ilvl w:val="0"/>
          <w:numId w:val="3"/>
        </w:numPr>
        <w:tabs>
          <w:tab w:val="left" w:pos="284"/>
        </w:tabs>
        <w:spacing w:line="240" w:lineRule="exact"/>
        <w:ind w:left="567" w:right="220" w:hanging="283"/>
        <w:contextualSpacing w:val="0"/>
        <w:rPr>
          <w:rFonts w:ascii="Arial" w:eastAsia="Arial" w:hAnsi="Arial" w:cs="Arial"/>
          <w:sz w:val="20"/>
          <w:szCs w:val="20"/>
        </w:rPr>
      </w:pPr>
      <w:r w:rsidRPr="006202BC">
        <w:rPr>
          <w:rFonts w:ascii="Arial" w:eastAsia="Arial" w:hAnsi="Arial" w:cs="Arial"/>
          <w:iCs/>
          <w:sz w:val="20"/>
          <w:szCs w:val="20"/>
        </w:rPr>
        <w:t>Laid back lectures helped information get across.</w:t>
      </w:r>
    </w:p>
    <w:p w:rsidR="001B66EE" w:rsidRPr="006202BC" w:rsidRDefault="001B66EE" w:rsidP="000E5B8C">
      <w:pPr>
        <w:spacing w:line="240" w:lineRule="exact"/>
        <w:jc w:val="both"/>
        <w:rPr>
          <w:rFonts w:ascii="Arial" w:eastAsia="Arial" w:hAnsi="Arial" w:cs="Arial"/>
          <w:sz w:val="20"/>
          <w:szCs w:val="20"/>
        </w:rPr>
      </w:pPr>
    </w:p>
    <w:p w:rsidR="001B66EE" w:rsidRPr="006202BC" w:rsidRDefault="001B66EE" w:rsidP="000E5B8C">
      <w:pPr>
        <w:spacing w:line="240" w:lineRule="exact"/>
        <w:jc w:val="both"/>
        <w:rPr>
          <w:rFonts w:ascii="Arial" w:eastAsia="Arial" w:hAnsi="Arial" w:cs="Arial"/>
          <w:sz w:val="20"/>
          <w:szCs w:val="20"/>
        </w:rPr>
      </w:pPr>
      <w:r w:rsidRPr="006202BC">
        <w:rPr>
          <w:rFonts w:ascii="Arial" w:eastAsia="Arial" w:hAnsi="Arial" w:cs="Arial"/>
          <w:sz w:val="20"/>
          <w:szCs w:val="20"/>
        </w:rPr>
        <w:t>Areas to Improve</w:t>
      </w:r>
    </w:p>
    <w:p w:rsidR="001B66EE" w:rsidRPr="006202BC" w:rsidRDefault="001B66EE" w:rsidP="000E5B8C">
      <w:pPr>
        <w:pStyle w:val="ListParagraph"/>
        <w:numPr>
          <w:ilvl w:val="0"/>
          <w:numId w:val="3"/>
        </w:numPr>
        <w:tabs>
          <w:tab w:val="left" w:pos="284"/>
        </w:tabs>
        <w:spacing w:line="240" w:lineRule="exact"/>
        <w:ind w:left="567" w:hanging="283"/>
        <w:contextualSpacing w:val="0"/>
        <w:rPr>
          <w:rFonts w:ascii="Arial" w:eastAsia="Arial" w:hAnsi="Arial" w:cs="Arial"/>
          <w:iCs/>
          <w:sz w:val="20"/>
          <w:szCs w:val="20"/>
        </w:rPr>
      </w:pPr>
      <w:r w:rsidRPr="006202BC">
        <w:rPr>
          <w:rFonts w:ascii="Arial" w:eastAsia="Arial" w:hAnsi="Arial" w:cs="Arial"/>
          <w:iCs/>
          <w:sz w:val="20"/>
          <w:szCs w:val="20"/>
        </w:rPr>
        <w:t>Need more instruction on fetal heart rate monitoring steps.</w:t>
      </w:r>
    </w:p>
    <w:p w:rsidR="001B66EE" w:rsidRPr="006202BC" w:rsidRDefault="001B66EE" w:rsidP="000E5B8C">
      <w:pPr>
        <w:pStyle w:val="ListParagraph"/>
        <w:numPr>
          <w:ilvl w:val="0"/>
          <w:numId w:val="3"/>
        </w:numPr>
        <w:tabs>
          <w:tab w:val="left" w:pos="284"/>
        </w:tabs>
        <w:spacing w:line="240" w:lineRule="exact"/>
        <w:ind w:left="567" w:hanging="283"/>
        <w:contextualSpacing w:val="0"/>
        <w:rPr>
          <w:rFonts w:ascii="Arial" w:eastAsia="Arial" w:hAnsi="Arial" w:cs="Arial"/>
          <w:iCs/>
          <w:sz w:val="20"/>
          <w:szCs w:val="20"/>
        </w:rPr>
      </w:pPr>
      <w:r w:rsidRPr="006202BC">
        <w:rPr>
          <w:rFonts w:ascii="Arial" w:eastAsia="Arial" w:hAnsi="Arial" w:cs="Arial"/>
          <w:iCs/>
          <w:sz w:val="20"/>
          <w:szCs w:val="20"/>
        </w:rPr>
        <w:t>A few very repetitive lectures (Labor &amp; Delivery).</w:t>
      </w:r>
    </w:p>
    <w:p w:rsidR="001B66EE" w:rsidRPr="006202BC" w:rsidRDefault="001B66EE" w:rsidP="000E5B8C">
      <w:pPr>
        <w:pStyle w:val="ListParagraph"/>
        <w:numPr>
          <w:ilvl w:val="0"/>
          <w:numId w:val="3"/>
        </w:numPr>
        <w:tabs>
          <w:tab w:val="left" w:pos="284"/>
        </w:tabs>
        <w:spacing w:line="240" w:lineRule="exact"/>
        <w:ind w:left="567" w:hanging="283"/>
        <w:contextualSpacing w:val="0"/>
        <w:rPr>
          <w:rFonts w:ascii="Arial" w:eastAsia="Arial" w:hAnsi="Arial" w:cs="Arial"/>
          <w:iCs/>
          <w:sz w:val="20"/>
          <w:szCs w:val="20"/>
        </w:rPr>
      </w:pPr>
      <w:r w:rsidRPr="006202BC">
        <w:rPr>
          <w:rFonts w:ascii="Arial" w:eastAsia="Arial" w:hAnsi="Arial" w:cs="Arial"/>
          <w:iCs/>
          <w:sz w:val="20"/>
          <w:szCs w:val="20"/>
        </w:rPr>
        <w:t>NEED to go over suturing in a lecture before going into hands on.</w:t>
      </w:r>
    </w:p>
    <w:p w:rsidR="001B66EE" w:rsidRPr="006202BC" w:rsidRDefault="001B66EE" w:rsidP="000E5B8C">
      <w:pPr>
        <w:pStyle w:val="ListParagraph"/>
        <w:numPr>
          <w:ilvl w:val="0"/>
          <w:numId w:val="3"/>
        </w:numPr>
        <w:tabs>
          <w:tab w:val="left" w:pos="284"/>
        </w:tabs>
        <w:spacing w:line="240" w:lineRule="exact"/>
        <w:ind w:left="567" w:hanging="283"/>
        <w:contextualSpacing w:val="0"/>
        <w:rPr>
          <w:rFonts w:ascii="Arial" w:eastAsia="Arial" w:hAnsi="Arial" w:cs="Arial"/>
          <w:iCs/>
          <w:sz w:val="20"/>
          <w:szCs w:val="20"/>
        </w:rPr>
      </w:pPr>
      <w:r w:rsidRPr="006202BC">
        <w:rPr>
          <w:rFonts w:ascii="Arial" w:eastAsia="Arial" w:hAnsi="Arial" w:cs="Arial"/>
          <w:iCs/>
          <w:sz w:val="20"/>
          <w:szCs w:val="20"/>
        </w:rPr>
        <w:t>Could be condensed to 3-4 days without all of the repetitive lectures.</w:t>
      </w:r>
    </w:p>
    <w:p w:rsidR="001B66EE" w:rsidRPr="006202BC" w:rsidRDefault="001B66EE" w:rsidP="000E5B8C">
      <w:pPr>
        <w:pStyle w:val="ListParagraph"/>
        <w:numPr>
          <w:ilvl w:val="0"/>
          <w:numId w:val="3"/>
        </w:numPr>
        <w:tabs>
          <w:tab w:val="left" w:pos="284"/>
        </w:tabs>
        <w:spacing w:line="240" w:lineRule="exact"/>
        <w:ind w:left="567" w:hanging="283"/>
        <w:contextualSpacing w:val="0"/>
        <w:rPr>
          <w:rFonts w:ascii="Arial" w:eastAsia="Arial" w:hAnsi="Arial" w:cs="Arial"/>
          <w:iCs/>
          <w:sz w:val="20"/>
          <w:szCs w:val="20"/>
        </w:rPr>
      </w:pPr>
      <w:r w:rsidRPr="006202BC">
        <w:rPr>
          <w:rFonts w:ascii="Arial" w:eastAsia="Arial" w:hAnsi="Arial" w:cs="Arial"/>
          <w:iCs/>
          <w:sz w:val="20"/>
          <w:szCs w:val="20"/>
        </w:rPr>
        <w:t>More time for Neonatal Resusciation Program (NRP).</w:t>
      </w:r>
    </w:p>
    <w:p w:rsidR="00287A6E" w:rsidRPr="006202BC" w:rsidRDefault="00287A6E" w:rsidP="000E5B8C">
      <w:pPr>
        <w:spacing w:line="240" w:lineRule="exact"/>
        <w:jc w:val="both"/>
        <w:rPr>
          <w:rFonts w:ascii="Arial" w:eastAsia="Arial" w:hAnsi="Arial" w:cs="Arial"/>
          <w:sz w:val="20"/>
          <w:szCs w:val="20"/>
        </w:rPr>
      </w:pPr>
    </w:p>
    <w:p w:rsidR="00287A6E" w:rsidRPr="006202BC" w:rsidRDefault="00287A6E" w:rsidP="000E5B8C">
      <w:pPr>
        <w:spacing w:line="240" w:lineRule="exact"/>
        <w:jc w:val="both"/>
        <w:rPr>
          <w:rFonts w:ascii="Arial" w:eastAsia="Arial" w:hAnsi="Arial" w:cs="Arial"/>
          <w:sz w:val="20"/>
          <w:szCs w:val="20"/>
        </w:rPr>
      </w:pPr>
      <w:r w:rsidRPr="006202BC">
        <w:rPr>
          <w:rFonts w:ascii="Arial" w:eastAsia="Arial" w:hAnsi="Arial" w:cs="Arial"/>
          <w:sz w:val="20"/>
          <w:szCs w:val="20"/>
        </w:rPr>
        <w:t>The overall goal of these analyses was to determine if the authors could cover the same basic content in three days and achieve equivalent learner practice skills confidence outcomes. In future boot camps, we intend to utilize additional assessment tools (pre- and post-boot camp), such as the Association of Professors of Gynecology and Obstetrics (APGO) Preparation for Ob-Gyn Residency Knowledge Assessment Tool (PrepForRes) exam,16 to more rigorously measure effectiveness of learning and retention.</w:t>
      </w:r>
    </w:p>
    <w:p w:rsidR="00287A6E" w:rsidRPr="006202BC" w:rsidRDefault="00287A6E" w:rsidP="000E5B8C">
      <w:pPr>
        <w:spacing w:line="240" w:lineRule="exact"/>
        <w:jc w:val="both"/>
        <w:rPr>
          <w:rFonts w:ascii="Arial" w:eastAsia="Arial" w:hAnsi="Arial" w:cs="Arial"/>
          <w:sz w:val="20"/>
          <w:szCs w:val="20"/>
        </w:rPr>
      </w:pPr>
    </w:p>
    <w:p w:rsidR="00287A6E" w:rsidRPr="006202BC" w:rsidRDefault="00287A6E" w:rsidP="000E5B8C">
      <w:pPr>
        <w:spacing w:line="240" w:lineRule="exact"/>
        <w:jc w:val="both"/>
        <w:rPr>
          <w:rFonts w:ascii="Arial" w:eastAsia="Arial" w:hAnsi="Arial" w:cs="Arial"/>
          <w:b/>
          <w:sz w:val="20"/>
          <w:szCs w:val="20"/>
        </w:rPr>
      </w:pPr>
      <w:r w:rsidRPr="006202BC">
        <w:rPr>
          <w:rFonts w:ascii="Arial" w:eastAsia="Arial" w:hAnsi="Arial" w:cs="Arial"/>
          <w:b/>
          <w:sz w:val="20"/>
          <w:szCs w:val="20"/>
        </w:rPr>
        <w:t>Study Limitations</w:t>
      </w:r>
    </w:p>
    <w:p w:rsidR="00287A6E" w:rsidRPr="006202BC" w:rsidRDefault="00287A6E" w:rsidP="000E5B8C">
      <w:pPr>
        <w:spacing w:line="240" w:lineRule="exact"/>
        <w:jc w:val="both"/>
        <w:rPr>
          <w:rFonts w:ascii="Arial" w:eastAsia="Arial" w:hAnsi="Arial" w:cs="Arial"/>
          <w:sz w:val="20"/>
          <w:szCs w:val="20"/>
        </w:rPr>
      </w:pPr>
    </w:p>
    <w:p w:rsidR="00287A6E" w:rsidRPr="006202BC" w:rsidRDefault="00287A6E" w:rsidP="000E5B8C">
      <w:pPr>
        <w:spacing w:line="240" w:lineRule="exact"/>
        <w:jc w:val="both"/>
        <w:rPr>
          <w:rFonts w:ascii="Arial" w:eastAsia="Arial" w:hAnsi="Arial" w:cs="Arial"/>
          <w:sz w:val="20"/>
          <w:szCs w:val="20"/>
        </w:rPr>
      </w:pPr>
      <w:r w:rsidRPr="006202BC">
        <w:rPr>
          <w:rFonts w:ascii="Arial" w:eastAsia="Arial" w:hAnsi="Arial" w:cs="Arial"/>
          <w:sz w:val="20"/>
          <w:szCs w:val="20"/>
        </w:rPr>
        <w:t>These results should be reviewed within the context of several major limitations. Obviously, two small convenience samples of OB/GYN residents from Michigan residency programs may certainly limit the generalizability of these findings to other parts of the country. In addition, the considerably smaller size of the 2015 respondent cohort limited our ability to use inferential statistical procedures to compare learner practice skills confidence and knowledge differences between the two boot camp cohorts.</w:t>
      </w:r>
    </w:p>
    <w:p w:rsidR="00E46B0A" w:rsidRPr="006202BC" w:rsidRDefault="00E46B0A" w:rsidP="00E46B0A">
      <w:pPr>
        <w:spacing w:line="240" w:lineRule="exact"/>
        <w:jc w:val="both"/>
        <w:rPr>
          <w:rFonts w:ascii="Arial" w:eastAsia="Arial" w:hAnsi="Arial" w:cs="Arial"/>
          <w:sz w:val="20"/>
          <w:szCs w:val="20"/>
        </w:rPr>
      </w:pPr>
    </w:p>
    <w:p w:rsidR="00E46B0A" w:rsidRPr="006202BC" w:rsidRDefault="00E46B0A" w:rsidP="00E46B0A">
      <w:pPr>
        <w:keepNext/>
        <w:jc w:val="both"/>
        <w:rPr>
          <w:rFonts w:ascii="Arial" w:eastAsia="Arial" w:hAnsi="Arial" w:cs="Arial"/>
          <w:sz w:val="20"/>
          <w:szCs w:val="20"/>
        </w:rPr>
      </w:pPr>
      <w:r w:rsidRPr="006202BC">
        <w:rPr>
          <w:rFonts w:ascii="Arial" w:eastAsia="Arial" w:hAnsi="Arial" w:cs="Arial"/>
          <w:noProof/>
          <w:sz w:val="20"/>
          <w:szCs w:val="20"/>
        </w:rPr>
        <w:drawing>
          <wp:inline distT="0" distB="0" distL="0" distR="0" wp14:anchorId="31D594AC" wp14:editId="69B55B2E">
            <wp:extent cx="2752725" cy="1008506"/>
            <wp:effectExtent l="0" t="0" r="0" b="1270"/>
            <wp:docPr id="6" name="Picture 6" descr="C:\Users\Administrator\Downloads\3968546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istrator\Downloads\3968546_ori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5897" cy="1013332"/>
                    </a:xfrm>
                    <a:prstGeom prst="rect">
                      <a:avLst/>
                    </a:prstGeom>
                    <a:noFill/>
                    <a:ln>
                      <a:noFill/>
                    </a:ln>
                  </pic:spPr>
                </pic:pic>
              </a:graphicData>
            </a:graphic>
          </wp:inline>
        </w:drawing>
      </w:r>
    </w:p>
    <w:p w:rsidR="00E46B0A" w:rsidRPr="006202BC" w:rsidRDefault="00E46B0A" w:rsidP="00E46B0A">
      <w:pPr>
        <w:pStyle w:val="Caption"/>
        <w:spacing w:after="0" w:line="240" w:lineRule="exact"/>
        <w:jc w:val="both"/>
        <w:rPr>
          <w:rFonts w:ascii="Arial" w:hAnsi="Arial" w:cs="Arial"/>
          <w:color w:val="000000" w:themeColor="text1"/>
          <w:sz w:val="20"/>
          <w:szCs w:val="20"/>
        </w:rPr>
      </w:pPr>
      <w:r w:rsidRPr="006202BC">
        <w:rPr>
          <w:rFonts w:ascii="Arial" w:hAnsi="Arial" w:cs="Arial"/>
          <w:color w:val="000000" w:themeColor="text1"/>
          <w:sz w:val="20"/>
          <w:szCs w:val="20"/>
        </w:rPr>
        <w:t xml:space="preserve">Figure </w:t>
      </w:r>
      <w:r w:rsidRPr="006202BC">
        <w:rPr>
          <w:rFonts w:ascii="Arial" w:hAnsi="Arial" w:cs="Arial"/>
          <w:color w:val="000000" w:themeColor="text1"/>
          <w:sz w:val="20"/>
          <w:szCs w:val="20"/>
        </w:rPr>
        <w:fldChar w:fldCharType="begin"/>
      </w:r>
      <w:r w:rsidRPr="006202BC">
        <w:rPr>
          <w:rFonts w:ascii="Arial" w:hAnsi="Arial" w:cs="Arial"/>
          <w:color w:val="000000" w:themeColor="text1"/>
          <w:sz w:val="20"/>
          <w:szCs w:val="20"/>
        </w:rPr>
        <w:instrText xml:space="preserve"> SEQ Figure \* ARABIC </w:instrText>
      </w:r>
      <w:r w:rsidRPr="006202BC">
        <w:rPr>
          <w:rFonts w:ascii="Arial" w:hAnsi="Arial" w:cs="Arial"/>
          <w:color w:val="000000" w:themeColor="text1"/>
          <w:sz w:val="20"/>
          <w:szCs w:val="20"/>
        </w:rPr>
        <w:fldChar w:fldCharType="separate"/>
      </w:r>
      <w:r w:rsidRPr="006202BC">
        <w:rPr>
          <w:rFonts w:ascii="Arial" w:hAnsi="Arial" w:cs="Arial"/>
          <w:color w:val="000000" w:themeColor="text1"/>
          <w:sz w:val="20"/>
          <w:szCs w:val="20"/>
        </w:rPr>
        <w:t>2</w:t>
      </w:r>
      <w:r w:rsidRPr="006202BC">
        <w:rPr>
          <w:rFonts w:ascii="Arial" w:hAnsi="Arial" w:cs="Arial"/>
          <w:color w:val="000000" w:themeColor="text1"/>
          <w:sz w:val="20"/>
          <w:szCs w:val="20"/>
        </w:rPr>
        <w:fldChar w:fldCharType="end"/>
      </w:r>
      <w:r w:rsidRPr="006202BC">
        <w:rPr>
          <w:rFonts w:ascii="Arial" w:hAnsi="Arial" w:cs="Arial"/>
          <w:color w:val="000000" w:themeColor="text1"/>
          <w:sz w:val="20"/>
          <w:szCs w:val="20"/>
        </w:rPr>
        <w:t>: Historical Solution</w:t>
      </w:r>
    </w:p>
    <w:p w:rsidR="00E46B0A" w:rsidRPr="006202BC" w:rsidRDefault="00E46B0A" w:rsidP="00E46B0A">
      <w:pPr>
        <w:rPr>
          <w:rFonts w:ascii="Arial" w:hAnsi="Arial" w:cs="Arial"/>
        </w:rPr>
      </w:pPr>
    </w:p>
    <w:p w:rsidR="00287A6E" w:rsidRPr="006202BC" w:rsidRDefault="00287A6E" w:rsidP="000E5B8C">
      <w:pPr>
        <w:spacing w:line="240" w:lineRule="exact"/>
        <w:jc w:val="both"/>
        <w:rPr>
          <w:rFonts w:ascii="Arial" w:eastAsia="Arial" w:hAnsi="Arial" w:cs="Arial"/>
          <w:sz w:val="20"/>
          <w:szCs w:val="20"/>
        </w:rPr>
      </w:pPr>
      <w:r w:rsidRPr="006202BC">
        <w:rPr>
          <w:rFonts w:ascii="Arial" w:eastAsia="Arial" w:hAnsi="Arial" w:cs="Arial"/>
          <w:sz w:val="20"/>
          <w:szCs w:val="20"/>
        </w:rPr>
        <w:t>This was also the first two times that the authors had used this untested 25-item survey instrument. The manner in which the 2014 and 2015 boot camps may have differed in other unmeasured ways could also have skewed our measured cohort differences. It would also have been ideal to follow these participating OB/GYN residents longitudinally to more systematically evaluate the actual total impact of the boot camp through the perspectives of the residents and/or their residency program faculty.</w:t>
      </w:r>
    </w:p>
    <w:p w:rsidR="00287A6E" w:rsidRPr="006202BC" w:rsidRDefault="00287A6E" w:rsidP="001B66EE">
      <w:pPr>
        <w:jc w:val="both"/>
        <w:rPr>
          <w:rFonts w:ascii="Arial" w:eastAsia="Arial" w:hAnsi="Arial" w:cs="Arial"/>
          <w:sz w:val="20"/>
          <w:szCs w:val="20"/>
        </w:rPr>
      </w:pPr>
    </w:p>
    <w:p w:rsidR="00287A6E" w:rsidRPr="006202BC" w:rsidRDefault="00287A6E" w:rsidP="001B66EE">
      <w:pPr>
        <w:rPr>
          <w:rFonts w:ascii="Arial" w:eastAsia="Arial" w:hAnsi="Arial" w:cs="Arial"/>
          <w:b/>
          <w:bCs/>
          <w:sz w:val="24"/>
        </w:rPr>
      </w:pPr>
      <w:r w:rsidRPr="006202BC">
        <w:rPr>
          <w:rFonts w:ascii="Arial" w:eastAsia="Arial" w:hAnsi="Arial" w:cs="Arial"/>
          <w:b/>
          <w:bCs/>
          <w:sz w:val="24"/>
        </w:rPr>
        <w:t>CONCLUSIONS</w:t>
      </w:r>
    </w:p>
    <w:p w:rsidR="00287A6E" w:rsidRPr="006202BC" w:rsidRDefault="00287A6E" w:rsidP="000E5B8C">
      <w:pPr>
        <w:spacing w:line="240" w:lineRule="exact"/>
        <w:jc w:val="both"/>
        <w:rPr>
          <w:rFonts w:ascii="Arial" w:eastAsia="Arial" w:hAnsi="Arial" w:cs="Arial"/>
          <w:sz w:val="20"/>
          <w:szCs w:val="20"/>
        </w:rPr>
      </w:pPr>
    </w:p>
    <w:p w:rsidR="00287A6E" w:rsidRPr="006202BC" w:rsidRDefault="00287A6E" w:rsidP="000E5B8C">
      <w:pPr>
        <w:spacing w:line="240" w:lineRule="exact"/>
        <w:jc w:val="both"/>
        <w:rPr>
          <w:rFonts w:ascii="Arial" w:eastAsia="Arial" w:hAnsi="Arial" w:cs="Arial"/>
          <w:sz w:val="20"/>
          <w:szCs w:val="20"/>
        </w:rPr>
      </w:pPr>
      <w:r w:rsidRPr="006202BC">
        <w:rPr>
          <w:rFonts w:ascii="Arial" w:eastAsia="Arial" w:hAnsi="Arial" w:cs="Arial"/>
          <w:sz w:val="20"/>
          <w:szCs w:val="20"/>
        </w:rPr>
        <w:t>There appears to be a growing consensus that there is benefit to providing a boot camp format for transition from medical school to residency.5,6,11 In addition, the Level 1 ACGME Milestones now provide a more focused set of expectations of what an incoming first-year OB/GYN resident should know or be able to perform.17 As various boot camp formats evolve, it will be important to measure the perceived value of these events by varied GME learners in addition to measuring pre- and post-training practice skill confidence levels.</w:t>
      </w:r>
    </w:p>
    <w:p w:rsidR="00E46B0A" w:rsidRPr="006202BC" w:rsidRDefault="00E46B0A" w:rsidP="000E5B8C">
      <w:pPr>
        <w:spacing w:line="240" w:lineRule="exact"/>
        <w:jc w:val="both"/>
        <w:rPr>
          <w:rFonts w:ascii="Arial" w:eastAsia="Arial" w:hAnsi="Arial" w:cs="Arial"/>
          <w:sz w:val="20"/>
          <w:szCs w:val="20"/>
        </w:rPr>
      </w:pPr>
    </w:p>
    <w:p w:rsidR="004129C5" w:rsidRPr="006202BC" w:rsidRDefault="00287A6E" w:rsidP="000E5B8C">
      <w:pPr>
        <w:spacing w:line="240" w:lineRule="exact"/>
        <w:jc w:val="both"/>
        <w:rPr>
          <w:rFonts w:ascii="Arial" w:eastAsia="Arial" w:hAnsi="Arial" w:cs="Arial"/>
          <w:sz w:val="20"/>
          <w:szCs w:val="20"/>
        </w:rPr>
      </w:pPr>
      <w:r w:rsidRPr="006202BC">
        <w:rPr>
          <w:rFonts w:ascii="Arial" w:eastAsia="Arial" w:hAnsi="Arial" w:cs="Arial"/>
          <w:sz w:val="20"/>
          <w:szCs w:val="20"/>
        </w:rPr>
        <w:t>Based on these initial results, the authors have determined that it may be possible to adjust the boot camp described here from five days to three and still achieve comparable practice skill confidence and knowledge outcomes while delivering the same basic OB/GYN content. While there has been a perceived benefit of providing a longer, more extensive boot camp, GME educators' ability to provide longer multi-day events may be increasingly limited particularly by resource constraints.</w:t>
      </w:r>
    </w:p>
    <w:p w:rsidR="00D57F63" w:rsidRPr="006202BC" w:rsidRDefault="00D57F63" w:rsidP="00D57F63">
      <w:pPr>
        <w:jc w:val="both"/>
        <w:rPr>
          <w:rFonts w:ascii="Arial" w:eastAsia="Arial" w:hAnsi="Arial" w:cs="Arial"/>
          <w:sz w:val="20"/>
          <w:szCs w:val="20"/>
        </w:rPr>
      </w:pPr>
    </w:p>
    <w:p w:rsidR="00D57F63" w:rsidRPr="006202BC" w:rsidRDefault="00D57F63" w:rsidP="00D57F63">
      <w:pPr>
        <w:rPr>
          <w:rFonts w:ascii="Arial" w:eastAsia="Arial" w:hAnsi="Arial" w:cs="Arial"/>
          <w:b/>
          <w:bCs/>
          <w:sz w:val="24"/>
        </w:rPr>
      </w:pPr>
      <w:r w:rsidRPr="006202BC">
        <w:rPr>
          <w:rFonts w:ascii="Arial" w:eastAsia="Arial" w:hAnsi="Arial" w:cs="Arial"/>
          <w:b/>
          <w:bCs/>
          <w:sz w:val="24"/>
        </w:rPr>
        <w:t>REFERENCES</w:t>
      </w:r>
    </w:p>
    <w:p w:rsidR="00D57F63" w:rsidRPr="006202BC" w:rsidRDefault="00D57F63" w:rsidP="005E4A28">
      <w:pPr>
        <w:spacing w:line="240" w:lineRule="exact"/>
        <w:jc w:val="both"/>
        <w:rPr>
          <w:rFonts w:ascii="Arial" w:eastAsia="Arial" w:hAnsi="Arial" w:cs="Arial"/>
          <w:sz w:val="20"/>
          <w:szCs w:val="20"/>
        </w:rPr>
      </w:pPr>
    </w:p>
    <w:p w:rsidR="004129C5" w:rsidRPr="006202BC" w:rsidRDefault="00D57F63" w:rsidP="005E4A28">
      <w:pPr>
        <w:spacing w:line="240" w:lineRule="exact"/>
        <w:ind w:left="567" w:hanging="567"/>
        <w:jc w:val="both"/>
        <w:rPr>
          <w:rFonts w:ascii="Arial" w:eastAsia="Arial" w:hAnsi="Arial" w:cs="Arial"/>
          <w:sz w:val="18"/>
          <w:szCs w:val="18"/>
        </w:rPr>
      </w:pPr>
      <w:r w:rsidRPr="006202BC">
        <w:rPr>
          <w:rFonts w:ascii="Arial" w:eastAsia="Arial" w:hAnsi="Arial" w:cs="Arial"/>
          <w:color w:val="000000" w:themeColor="text1"/>
          <w:sz w:val="18"/>
          <w:szCs w:val="18"/>
        </w:rPr>
        <w:t>Grady, J. S., Her, M., Moreno, G., Perez, C., &amp; Yelinek, J. (2019). Emotions in storybooks: A comparison of storybooks that represent ethnic and racial groups in the United States. </w:t>
      </w:r>
      <w:r w:rsidRPr="006202BC">
        <w:rPr>
          <w:rFonts w:ascii="Arial" w:eastAsia="Arial" w:hAnsi="Arial" w:cs="Arial"/>
          <w:i/>
          <w:iCs/>
          <w:color w:val="000000" w:themeColor="text1"/>
          <w:sz w:val="18"/>
          <w:szCs w:val="18"/>
        </w:rPr>
        <w:t>Psychology of Popular Media Culture</w:t>
      </w:r>
      <w:r w:rsidRPr="006202BC">
        <w:rPr>
          <w:rFonts w:ascii="Arial" w:eastAsia="Arial" w:hAnsi="Arial" w:cs="Arial"/>
          <w:color w:val="000000" w:themeColor="text1"/>
          <w:sz w:val="18"/>
          <w:szCs w:val="18"/>
        </w:rPr>
        <w:t>, </w:t>
      </w:r>
      <w:r w:rsidRPr="006202BC">
        <w:rPr>
          <w:rFonts w:ascii="Arial" w:eastAsia="Arial" w:hAnsi="Arial" w:cs="Arial"/>
          <w:i/>
          <w:iCs/>
          <w:color w:val="000000" w:themeColor="text1"/>
          <w:sz w:val="18"/>
          <w:szCs w:val="18"/>
        </w:rPr>
        <w:t>8</w:t>
      </w:r>
      <w:r w:rsidRPr="006202BC">
        <w:rPr>
          <w:rFonts w:ascii="Arial" w:eastAsia="Arial" w:hAnsi="Arial" w:cs="Arial"/>
          <w:color w:val="000000" w:themeColor="text1"/>
          <w:sz w:val="18"/>
          <w:szCs w:val="18"/>
        </w:rPr>
        <w:t>(3), 207–217</w:t>
      </w:r>
      <w:r w:rsidRPr="006202BC">
        <w:rPr>
          <w:rFonts w:ascii="Arial" w:eastAsia="Arial" w:hAnsi="Arial" w:cs="Arial"/>
          <w:sz w:val="18"/>
          <w:szCs w:val="18"/>
        </w:rPr>
        <w:t>. </w:t>
      </w:r>
      <w:hyperlink r:id="rId13" w:history="1">
        <w:r w:rsidR="005E4A28" w:rsidRPr="006202BC">
          <w:rPr>
            <w:rStyle w:val="Hyperlink"/>
            <w:rFonts w:ascii="Arial" w:eastAsia="Arial" w:hAnsi="Arial" w:cs="Arial"/>
            <w:sz w:val="18"/>
            <w:szCs w:val="18"/>
          </w:rPr>
          <w:t>https://doi.org/10.1037/ppm0000185</w:t>
        </w:r>
      </w:hyperlink>
      <w:r w:rsidR="005E4A28" w:rsidRPr="006202BC">
        <w:rPr>
          <w:rFonts w:ascii="Arial" w:eastAsia="Arial" w:hAnsi="Arial" w:cs="Arial"/>
          <w:sz w:val="18"/>
          <w:szCs w:val="18"/>
        </w:rPr>
        <w:t xml:space="preserve">  </w:t>
      </w:r>
    </w:p>
    <w:p w:rsidR="005E4A28" w:rsidRPr="006202BC" w:rsidRDefault="005E4A28" w:rsidP="005E4A28">
      <w:pPr>
        <w:spacing w:line="240" w:lineRule="exact"/>
        <w:ind w:left="567" w:hanging="567"/>
        <w:jc w:val="both"/>
        <w:rPr>
          <w:rFonts w:ascii="Arial" w:eastAsia="Arial" w:hAnsi="Arial" w:cs="Arial"/>
          <w:sz w:val="18"/>
          <w:szCs w:val="18"/>
        </w:rPr>
      </w:pPr>
      <w:r w:rsidRPr="005E4A28">
        <w:rPr>
          <w:rFonts w:ascii="Arial" w:eastAsia="Arial" w:hAnsi="Arial" w:cs="Arial"/>
          <w:sz w:val="18"/>
          <w:szCs w:val="18"/>
        </w:rPr>
        <w:t>Jerrentrup, A., Mueller, T., Glowalla, U., Herder, M., Henrichs, N., Neubauer, A., &amp; Schaefer, J. R. (2018). Teaching medicine with the help of “Dr. House.” </w:t>
      </w:r>
      <w:r w:rsidRPr="006202BC">
        <w:rPr>
          <w:rFonts w:ascii="Arial" w:eastAsia="Arial" w:hAnsi="Arial" w:cs="Arial"/>
          <w:i/>
          <w:sz w:val="18"/>
          <w:szCs w:val="18"/>
        </w:rPr>
        <w:t>PLoS ONE</w:t>
      </w:r>
      <w:r w:rsidRPr="005E4A28">
        <w:rPr>
          <w:rFonts w:ascii="Arial" w:eastAsia="Arial" w:hAnsi="Arial" w:cs="Arial"/>
          <w:i/>
          <w:sz w:val="18"/>
          <w:szCs w:val="18"/>
        </w:rPr>
        <w:t>, </w:t>
      </w:r>
      <w:r w:rsidRPr="006202BC">
        <w:rPr>
          <w:rFonts w:ascii="Arial" w:eastAsia="Arial" w:hAnsi="Arial" w:cs="Arial"/>
          <w:i/>
          <w:sz w:val="18"/>
          <w:szCs w:val="18"/>
        </w:rPr>
        <w:t>13</w:t>
      </w:r>
      <w:r w:rsidRPr="005E4A28">
        <w:rPr>
          <w:rFonts w:ascii="Arial" w:eastAsia="Arial" w:hAnsi="Arial" w:cs="Arial"/>
          <w:sz w:val="18"/>
          <w:szCs w:val="18"/>
        </w:rPr>
        <w:t>(3), Article e0193972. </w:t>
      </w:r>
      <w:hyperlink r:id="rId14" w:history="1">
        <w:r w:rsidRPr="006202BC">
          <w:rPr>
            <w:rStyle w:val="Hyperlink"/>
            <w:rFonts w:ascii="Arial" w:eastAsia="Arial" w:hAnsi="Arial" w:cs="Arial"/>
            <w:sz w:val="18"/>
            <w:szCs w:val="18"/>
          </w:rPr>
          <w:t>https://doi.org/10.1371/journal.pone.0193972</w:t>
        </w:r>
      </w:hyperlink>
      <w:r w:rsidRPr="006202BC">
        <w:rPr>
          <w:rFonts w:ascii="Arial" w:eastAsia="Arial" w:hAnsi="Arial" w:cs="Arial"/>
          <w:sz w:val="18"/>
          <w:szCs w:val="18"/>
        </w:rPr>
        <w:t xml:space="preserve"> </w:t>
      </w:r>
    </w:p>
    <w:p w:rsidR="005E4A28" w:rsidRPr="006202BC" w:rsidRDefault="005E4A28" w:rsidP="005E4A28">
      <w:pPr>
        <w:spacing w:line="240" w:lineRule="exact"/>
        <w:ind w:left="567" w:hanging="567"/>
        <w:jc w:val="both"/>
        <w:rPr>
          <w:rFonts w:ascii="Arial" w:eastAsia="Arial" w:hAnsi="Arial" w:cs="Arial"/>
          <w:sz w:val="18"/>
          <w:szCs w:val="18"/>
        </w:rPr>
      </w:pPr>
      <w:r w:rsidRPr="005E4A28">
        <w:rPr>
          <w:rFonts w:ascii="Arial" w:eastAsia="Arial" w:hAnsi="Arial" w:cs="Arial"/>
          <w:sz w:val="18"/>
          <w:szCs w:val="18"/>
        </w:rPr>
        <w:t>Stegmeir, M. (2016). Climate change: New discipline practices promote college access. </w:t>
      </w:r>
      <w:r w:rsidRPr="006202BC">
        <w:rPr>
          <w:rFonts w:ascii="Arial" w:eastAsia="Arial" w:hAnsi="Arial" w:cs="Arial"/>
          <w:sz w:val="18"/>
          <w:szCs w:val="18"/>
        </w:rPr>
        <w:t>The Journal of College Admission</w:t>
      </w:r>
      <w:r w:rsidRPr="005E4A28">
        <w:rPr>
          <w:rFonts w:ascii="Arial" w:eastAsia="Arial" w:hAnsi="Arial" w:cs="Arial"/>
          <w:sz w:val="18"/>
          <w:szCs w:val="18"/>
        </w:rPr>
        <w:t>, (231), 44–47. </w:t>
      </w:r>
    </w:p>
    <w:p w:rsidR="005E4A28" w:rsidRPr="005E4A28" w:rsidRDefault="005E4A28" w:rsidP="005E4A28">
      <w:pPr>
        <w:spacing w:line="240" w:lineRule="exact"/>
        <w:ind w:left="567" w:hanging="567"/>
        <w:jc w:val="both"/>
        <w:rPr>
          <w:rFonts w:ascii="Arial" w:eastAsia="Arial" w:hAnsi="Arial" w:cs="Arial"/>
          <w:sz w:val="18"/>
          <w:szCs w:val="18"/>
        </w:rPr>
      </w:pPr>
      <w:r w:rsidRPr="005E4A28">
        <w:rPr>
          <w:rFonts w:ascii="Arial" w:eastAsia="Arial" w:hAnsi="Arial" w:cs="Arial"/>
          <w:sz w:val="18"/>
          <w:szCs w:val="18"/>
        </w:rPr>
        <w:t>Sanchiz, M., Chevalier, A., &amp; Amadieu, F. (2017). How do older and young adults start searching for information? Impact of age, domain knowledge and problem complexity on the different steps of information searching. </w:t>
      </w:r>
      <w:r w:rsidRPr="006202BC">
        <w:rPr>
          <w:rFonts w:ascii="Arial" w:eastAsia="Arial" w:hAnsi="Arial" w:cs="Arial"/>
          <w:i/>
          <w:sz w:val="18"/>
          <w:szCs w:val="18"/>
        </w:rPr>
        <w:t>Computers in</w:t>
      </w:r>
      <w:r w:rsidRPr="005E4A28">
        <w:rPr>
          <w:rFonts w:ascii="Arial" w:eastAsia="Arial" w:hAnsi="Arial" w:cs="Arial"/>
          <w:i/>
          <w:sz w:val="18"/>
          <w:szCs w:val="18"/>
        </w:rPr>
        <w:t> </w:t>
      </w:r>
      <w:r w:rsidRPr="006202BC">
        <w:rPr>
          <w:rFonts w:ascii="Arial" w:eastAsia="Arial" w:hAnsi="Arial" w:cs="Arial"/>
          <w:i/>
          <w:sz w:val="18"/>
          <w:szCs w:val="18"/>
        </w:rPr>
        <w:t>Human Behavior</w:t>
      </w:r>
      <w:r w:rsidRPr="005E4A28">
        <w:rPr>
          <w:rFonts w:ascii="Arial" w:eastAsia="Arial" w:hAnsi="Arial" w:cs="Arial"/>
          <w:i/>
          <w:sz w:val="18"/>
          <w:szCs w:val="18"/>
        </w:rPr>
        <w:t>, </w:t>
      </w:r>
      <w:r w:rsidRPr="006202BC">
        <w:rPr>
          <w:rFonts w:ascii="Arial" w:eastAsia="Arial" w:hAnsi="Arial" w:cs="Arial"/>
          <w:i/>
          <w:sz w:val="18"/>
          <w:szCs w:val="18"/>
        </w:rPr>
        <w:t>72</w:t>
      </w:r>
      <w:r w:rsidRPr="005E4A28">
        <w:rPr>
          <w:rFonts w:ascii="Arial" w:eastAsia="Arial" w:hAnsi="Arial" w:cs="Arial"/>
          <w:sz w:val="18"/>
          <w:szCs w:val="18"/>
        </w:rPr>
        <w:t>, 67–78. </w:t>
      </w:r>
      <w:hyperlink r:id="rId15" w:history="1">
        <w:r w:rsidRPr="006202BC">
          <w:rPr>
            <w:rStyle w:val="Hyperlink"/>
            <w:rFonts w:ascii="Arial" w:eastAsia="Arial" w:hAnsi="Arial" w:cs="Arial"/>
            <w:sz w:val="18"/>
            <w:szCs w:val="18"/>
          </w:rPr>
          <w:t>https://doi.org/10.1016/j.chb.2017.02.038</w:t>
        </w:r>
      </w:hyperlink>
      <w:r w:rsidRPr="006202BC">
        <w:rPr>
          <w:rFonts w:ascii="Arial" w:eastAsia="Arial" w:hAnsi="Arial" w:cs="Arial"/>
          <w:sz w:val="18"/>
          <w:szCs w:val="18"/>
        </w:rPr>
        <w:t xml:space="preserve"> </w:t>
      </w:r>
    </w:p>
    <w:p w:rsidR="00C86AE8" w:rsidRPr="006202BC" w:rsidRDefault="00C86AE8" w:rsidP="005E4A28">
      <w:pPr>
        <w:spacing w:line="240" w:lineRule="exact"/>
        <w:rPr>
          <w:rFonts w:ascii="Arial" w:eastAsia="Arial" w:hAnsi="Arial" w:cs="Arial"/>
          <w:sz w:val="18"/>
          <w:szCs w:val="18"/>
        </w:rPr>
        <w:sectPr w:rsidR="00C86AE8" w:rsidRPr="006202BC" w:rsidSect="00E54214">
          <w:type w:val="continuous"/>
          <w:pgSz w:w="12240" w:h="15840" w:code="1"/>
          <w:pgMar w:top="1440" w:right="1440" w:bottom="1440" w:left="1440" w:header="720" w:footer="720" w:gutter="0"/>
          <w:pgNumType w:start="1"/>
          <w:cols w:num="2" w:space="454"/>
          <w:docGrid w:linePitch="360"/>
        </w:sectPr>
      </w:pPr>
    </w:p>
    <w:p w:rsidR="004129C5" w:rsidRPr="006202BC" w:rsidRDefault="004129C5" w:rsidP="005E4A28">
      <w:pPr>
        <w:spacing w:line="240" w:lineRule="exact"/>
        <w:rPr>
          <w:rFonts w:ascii="Arial" w:eastAsia="Arial" w:hAnsi="Arial" w:cs="Arial"/>
          <w:sz w:val="18"/>
          <w:szCs w:val="18"/>
        </w:rPr>
      </w:pPr>
    </w:p>
    <w:p w:rsidR="004129C5" w:rsidRPr="006202BC" w:rsidRDefault="004129C5" w:rsidP="004129C5">
      <w:pPr>
        <w:rPr>
          <w:rFonts w:ascii="Arial" w:eastAsia="Arial" w:hAnsi="Arial" w:cs="Arial"/>
          <w:sz w:val="18"/>
          <w:szCs w:val="18"/>
        </w:rPr>
      </w:pPr>
    </w:p>
    <w:p w:rsidR="004129C5" w:rsidRPr="006202BC" w:rsidRDefault="004129C5" w:rsidP="004129C5">
      <w:pPr>
        <w:tabs>
          <w:tab w:val="left" w:pos="960"/>
        </w:tabs>
        <w:rPr>
          <w:rFonts w:ascii="Arial" w:eastAsia="Arial" w:hAnsi="Arial" w:cs="Arial"/>
          <w:sz w:val="18"/>
          <w:szCs w:val="18"/>
        </w:rPr>
      </w:pPr>
    </w:p>
    <w:p w:rsidR="004C0EF8" w:rsidRPr="006202BC" w:rsidRDefault="004C0EF8" w:rsidP="004C0EF8">
      <w:pPr>
        <w:pStyle w:val="Caption"/>
        <w:spacing w:after="0" w:line="240" w:lineRule="exact"/>
        <w:jc w:val="center"/>
        <w:rPr>
          <w:rFonts w:ascii="Arial" w:hAnsi="Arial" w:cs="Arial"/>
          <w:i w:val="0"/>
          <w:color w:val="000000" w:themeColor="text1"/>
          <w:sz w:val="20"/>
          <w:szCs w:val="20"/>
        </w:rPr>
      </w:pPr>
      <w:r w:rsidRPr="006202BC">
        <w:rPr>
          <w:rFonts w:ascii="Arial" w:hAnsi="Arial" w:cs="Arial"/>
          <w:i w:val="0"/>
          <w:color w:val="000000" w:themeColor="text1"/>
          <w:sz w:val="20"/>
          <w:szCs w:val="20"/>
        </w:rPr>
        <w:t>APPENDICES</w:t>
      </w:r>
    </w:p>
    <w:p w:rsidR="004C0EF8" w:rsidRPr="006202BC" w:rsidRDefault="004C0EF8" w:rsidP="004C0EF8">
      <w:pPr>
        <w:rPr>
          <w:rFonts w:ascii="Arial" w:hAnsi="Arial" w:cs="Arial"/>
        </w:rPr>
      </w:pPr>
    </w:p>
    <w:p w:rsidR="004129C5" w:rsidRPr="006202BC" w:rsidRDefault="00506C96" w:rsidP="004C0EF8">
      <w:pPr>
        <w:pStyle w:val="Caption"/>
        <w:spacing w:after="0" w:line="240" w:lineRule="exact"/>
        <w:rPr>
          <w:rFonts w:ascii="Arial" w:hAnsi="Arial" w:cs="Arial"/>
          <w:color w:val="000000" w:themeColor="text1"/>
          <w:sz w:val="20"/>
          <w:szCs w:val="20"/>
        </w:rPr>
      </w:pPr>
      <w:r w:rsidRPr="006202BC">
        <w:rPr>
          <w:rFonts w:ascii="Arial" w:hAnsi="Arial" w:cs="Arial"/>
          <w:color w:val="000000" w:themeColor="text1"/>
          <w:sz w:val="20"/>
          <w:szCs w:val="20"/>
        </w:rPr>
        <w:t>Appendix 1: Use appendices for Big Tables, Big Figures, and Big Charts</w:t>
      </w:r>
    </w:p>
    <w:p w:rsidR="00506C96" w:rsidRPr="006202BC" w:rsidRDefault="00506C96" w:rsidP="00506C96">
      <w:pPr>
        <w:rPr>
          <w:rFonts w:ascii="Arial" w:hAnsi="Arial" w:cs="Arial"/>
        </w:rPr>
      </w:pPr>
    </w:p>
    <w:p w:rsidR="00506C96" w:rsidRPr="006202BC" w:rsidRDefault="00506C96" w:rsidP="00506C96">
      <w:pPr>
        <w:pStyle w:val="Caption"/>
        <w:spacing w:after="0"/>
        <w:rPr>
          <w:rFonts w:ascii="Arial" w:hAnsi="Arial" w:cs="Arial"/>
          <w:color w:val="000000" w:themeColor="text1"/>
          <w:sz w:val="20"/>
          <w:szCs w:val="20"/>
        </w:rPr>
      </w:pPr>
      <w:r w:rsidRPr="006202BC">
        <w:rPr>
          <w:rFonts w:ascii="Arial" w:hAnsi="Arial" w:cs="Arial"/>
          <w:noProof/>
        </w:rPr>
        <w:drawing>
          <wp:inline distT="0" distB="0" distL="0" distR="0" wp14:anchorId="3917AAC9" wp14:editId="23D8D089">
            <wp:extent cx="5943600" cy="8921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892175"/>
                    </a:xfrm>
                    <a:prstGeom prst="rect">
                      <a:avLst/>
                    </a:prstGeom>
                  </pic:spPr>
                </pic:pic>
              </a:graphicData>
            </a:graphic>
          </wp:inline>
        </w:drawing>
      </w:r>
    </w:p>
    <w:p w:rsidR="004C0EF8" w:rsidRPr="006202BC" w:rsidRDefault="004C0EF8" w:rsidP="004C0EF8">
      <w:pPr>
        <w:pStyle w:val="Caption"/>
        <w:spacing w:after="0" w:line="240" w:lineRule="exact"/>
        <w:rPr>
          <w:rFonts w:ascii="Arial" w:hAnsi="Arial" w:cs="Arial"/>
          <w:color w:val="000000" w:themeColor="text1"/>
          <w:sz w:val="20"/>
          <w:szCs w:val="20"/>
        </w:rPr>
      </w:pPr>
    </w:p>
    <w:p w:rsidR="004C0EF8" w:rsidRPr="006202BC" w:rsidRDefault="004C0EF8" w:rsidP="004C0EF8">
      <w:pPr>
        <w:pStyle w:val="Caption"/>
        <w:spacing w:after="0" w:line="240" w:lineRule="exact"/>
        <w:rPr>
          <w:rFonts w:ascii="Arial" w:hAnsi="Arial" w:cs="Arial"/>
          <w:color w:val="000000" w:themeColor="text1"/>
          <w:sz w:val="20"/>
          <w:szCs w:val="20"/>
        </w:rPr>
      </w:pPr>
    </w:p>
    <w:p w:rsidR="004C0EF8" w:rsidRPr="006202BC" w:rsidRDefault="004C0EF8" w:rsidP="004C0EF8">
      <w:pPr>
        <w:pStyle w:val="Caption"/>
        <w:spacing w:after="0" w:line="240" w:lineRule="exact"/>
        <w:rPr>
          <w:rFonts w:ascii="Arial" w:hAnsi="Arial" w:cs="Arial"/>
          <w:color w:val="000000" w:themeColor="text1"/>
          <w:sz w:val="20"/>
          <w:szCs w:val="20"/>
        </w:rPr>
      </w:pPr>
    </w:p>
    <w:p w:rsidR="004C0EF8" w:rsidRPr="006202BC" w:rsidRDefault="004C0EF8" w:rsidP="004C0EF8">
      <w:pPr>
        <w:pStyle w:val="Caption"/>
        <w:spacing w:after="0" w:line="240" w:lineRule="exact"/>
        <w:rPr>
          <w:rFonts w:ascii="Arial" w:hAnsi="Arial" w:cs="Arial"/>
          <w:color w:val="000000" w:themeColor="text1"/>
          <w:sz w:val="20"/>
          <w:szCs w:val="20"/>
        </w:rPr>
      </w:pPr>
    </w:p>
    <w:p w:rsidR="004C0EF8" w:rsidRPr="006202BC" w:rsidRDefault="004C0EF8" w:rsidP="004C0EF8">
      <w:pPr>
        <w:pStyle w:val="Caption"/>
        <w:spacing w:after="0" w:line="240" w:lineRule="exact"/>
        <w:rPr>
          <w:rFonts w:ascii="Arial" w:hAnsi="Arial" w:cs="Arial"/>
          <w:color w:val="000000" w:themeColor="text1"/>
          <w:sz w:val="20"/>
          <w:szCs w:val="20"/>
        </w:rPr>
      </w:pPr>
    </w:p>
    <w:p w:rsidR="00506C96" w:rsidRPr="006202BC" w:rsidRDefault="00506C96" w:rsidP="004C0EF8">
      <w:pPr>
        <w:pStyle w:val="Caption"/>
        <w:spacing w:after="0" w:line="240" w:lineRule="exact"/>
        <w:rPr>
          <w:rFonts w:ascii="Arial" w:hAnsi="Arial" w:cs="Arial"/>
          <w:color w:val="000000" w:themeColor="text1"/>
          <w:sz w:val="20"/>
          <w:szCs w:val="20"/>
        </w:rPr>
      </w:pPr>
      <w:r w:rsidRPr="006202BC">
        <w:rPr>
          <w:rFonts w:ascii="Arial" w:hAnsi="Arial" w:cs="Arial"/>
          <w:color w:val="000000" w:themeColor="text1"/>
          <w:sz w:val="20"/>
          <w:szCs w:val="20"/>
        </w:rPr>
        <w:t>Appendix 2: Use appendices for Big Tables, Big Figures, and Big Charts</w:t>
      </w:r>
    </w:p>
    <w:p w:rsidR="00506C96" w:rsidRPr="006202BC" w:rsidRDefault="00506C96" w:rsidP="00506C96">
      <w:pPr>
        <w:rPr>
          <w:rFonts w:ascii="Arial" w:hAnsi="Arial" w:cs="Arial"/>
        </w:rPr>
      </w:pPr>
    </w:p>
    <w:p w:rsidR="00506C96" w:rsidRPr="006202BC" w:rsidRDefault="00506C96" w:rsidP="00506C96">
      <w:pPr>
        <w:rPr>
          <w:rFonts w:ascii="Arial" w:hAnsi="Arial" w:cs="Arial"/>
        </w:rPr>
      </w:pPr>
      <w:r w:rsidRPr="006202BC">
        <w:rPr>
          <w:rFonts w:ascii="Arial" w:hAnsi="Arial" w:cs="Arial"/>
          <w:noProof/>
        </w:rPr>
        <w:drawing>
          <wp:inline distT="0" distB="0" distL="0" distR="0" wp14:anchorId="48D3CDDD" wp14:editId="28936A10">
            <wp:extent cx="5943600" cy="41217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4121785"/>
                    </a:xfrm>
                    <a:prstGeom prst="rect">
                      <a:avLst/>
                    </a:prstGeom>
                  </pic:spPr>
                </pic:pic>
              </a:graphicData>
            </a:graphic>
          </wp:inline>
        </w:drawing>
      </w:r>
    </w:p>
    <w:p w:rsidR="004129C5" w:rsidRPr="006202BC" w:rsidRDefault="004129C5" w:rsidP="00E46B0A">
      <w:pPr>
        <w:tabs>
          <w:tab w:val="left" w:pos="960"/>
        </w:tabs>
        <w:spacing w:line="240" w:lineRule="exact"/>
        <w:rPr>
          <w:rFonts w:ascii="Arial" w:eastAsia="Arial" w:hAnsi="Arial" w:cs="Arial"/>
          <w:color w:val="000000" w:themeColor="text1"/>
          <w:sz w:val="20"/>
          <w:szCs w:val="20"/>
        </w:rPr>
      </w:pPr>
    </w:p>
    <w:p w:rsidR="004129C5" w:rsidRPr="00990734" w:rsidRDefault="004129C5" w:rsidP="00990734">
      <w:pPr>
        <w:tabs>
          <w:tab w:val="left" w:pos="960"/>
        </w:tabs>
        <w:spacing w:line="240" w:lineRule="exact"/>
        <w:jc w:val="center"/>
        <w:rPr>
          <w:rFonts w:ascii="Arial" w:eastAsia="Arial" w:hAnsi="Arial" w:cs="Arial"/>
          <w:bCs/>
          <w:i/>
          <w:sz w:val="14"/>
          <w:szCs w:val="14"/>
        </w:rPr>
      </w:pPr>
    </w:p>
    <w:p w:rsidR="00990734" w:rsidRPr="00990734" w:rsidRDefault="00990734" w:rsidP="00990734">
      <w:pPr>
        <w:tabs>
          <w:tab w:val="left" w:pos="960"/>
        </w:tabs>
        <w:spacing w:line="240" w:lineRule="exact"/>
        <w:jc w:val="center"/>
        <w:rPr>
          <w:rFonts w:ascii="Arial" w:eastAsia="Arial" w:hAnsi="Arial" w:cs="Arial"/>
          <w:bCs/>
          <w:i/>
          <w:sz w:val="14"/>
          <w:szCs w:val="14"/>
        </w:rPr>
      </w:pPr>
    </w:p>
    <w:p w:rsidR="00990734" w:rsidRDefault="00990734" w:rsidP="00E46B0A">
      <w:pPr>
        <w:tabs>
          <w:tab w:val="left" w:pos="960"/>
        </w:tabs>
        <w:spacing w:line="240" w:lineRule="exact"/>
        <w:rPr>
          <w:rFonts w:ascii="Arial" w:eastAsia="Arial" w:hAnsi="Arial" w:cs="Arial"/>
          <w:b/>
          <w:bCs/>
          <w:sz w:val="30"/>
          <w:szCs w:val="30"/>
        </w:rPr>
      </w:pPr>
    </w:p>
    <w:sectPr w:rsidR="00990734" w:rsidSect="00C86AE8">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A58" w:rsidRDefault="00D60A58" w:rsidP="00495320">
      <w:r>
        <w:separator/>
      </w:r>
    </w:p>
  </w:endnote>
  <w:endnote w:type="continuationSeparator" w:id="0">
    <w:p w:rsidR="00D60A58" w:rsidRDefault="00D60A58" w:rsidP="00495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0082348"/>
      <w:docPartObj>
        <w:docPartGallery w:val="Page Numbers (Bottom of Page)"/>
        <w:docPartUnique/>
      </w:docPartObj>
    </w:sdtPr>
    <w:sdtEndPr>
      <w:rPr>
        <w:noProof/>
      </w:rPr>
    </w:sdtEndPr>
    <w:sdtContent>
      <w:p w:rsidR="004C0EF8" w:rsidRDefault="004C0EF8">
        <w:pPr>
          <w:pStyle w:val="Footer"/>
          <w:jc w:val="center"/>
        </w:pPr>
        <w:r>
          <w:rPr>
            <w:noProof/>
          </w:rPr>
          <mc:AlternateContent>
            <mc:Choice Requires="wps">
              <w:drawing>
                <wp:inline distT="0" distB="0" distL="0" distR="0">
                  <wp:extent cx="5467350" cy="45085"/>
                  <wp:effectExtent l="9525" t="9525" r="0" b="2540"/>
                  <wp:docPr id="37" name="Flowchart: Decision 37"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71DD8D5" id="_x0000_t110" coordsize="21600,21600" o:spt="110" path="m10800,l,10800,10800,21600,21600,10800xe">
                  <v:stroke joinstyle="miter"/>
                  <v:path gradientshapeok="t" o:connecttype="rect" textboxrect="5400,5400,16200,16200"/>
                </v:shapetype>
                <v:shape id="Flowchart: Decision 37"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bFquQIAAIEFAAAOAAAAZHJzL2Uyb0RvYy54bWysVF1v0zAUfUfiP1h+75J0SdtES6dtJYBU&#10;YNKAd9dxGgvHNrbbdEP8d66dtNv4kBCiD66d++Fzzz2+F5eHTqA9M5YrWeLkLMaISapqLrcl/vSx&#10;miwwso7ImgglWYnvmcWXy5cvLnpdsKlqlaiZQZBE2qLXJW6d00UUWdqyjtgzpZkEY6NMRxwczTaq&#10;DekheyeiaRzPol6ZWhtFmbXwdTUY8TLkbxpG3YemscwhUWLA5sJqwrrxa7S8IMXWEN1yOsIg/4Ci&#10;I1zCpadUK+II2hn+S6qOU6OsatwZVV2kmoZTFmqAapL4p2ruWqJZqAXIsfpEk/1/aen7/a1BvC7x&#10;+RwjSTroUSVUT1tiXIFWjHLfWuStNbMUqFvzbetQqwx/UNIR4TnstS0g1Z2+NZ4Fq9eKfrFIqpuW&#10;yC27Mkb1LSM1IE+8f/QswB8shKJN/07VgIDsnAp0HhrToUZw/dkH+tRAGTqE/t2f+scODlH4mKWz&#10;+XkGbaZgS7N4kYW7SOHT+GBtrHvNVIf8psQNFAoAjTuWGW4g+7V1HuOjf4glzlVciDFWuDfKPISA&#10;ZnsjTCjbbDewRXvi1RZ+I4CTy+a3vlX4jb6ji79+vNLnFtKvUnkIA7jhC9QOcL3NsxAk9y1Ppml8&#10;Pc0n1Wwxn6RVmk3yebyYxEl+nc/iNE9X1XcPPUmLltc1k2su2VH+Sfp38hof4iDc8ABQX+I8m2aB&#10;FasErz1aj83+kZlnbh13MA0E70q8ONFHCq+cV7KGsknhCBfDPnoOPzQMODj+B1aCzry0BoluVH0P&#10;MjMKmg8ygbkFG1DyA0Y9zIAS2687YhhG4q0EqeZJmvqhEQ5pNp/CwTy1bJ5aiKSQqsQOo2F744ZB&#10;s9PGP5mjgqW6Ank3PGjMS39ANT4KeOehgnEm+UHy9By8Hifn8gcA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mHmxarkCAACB&#10;BQAADgAAAAAAAAAAAAAAAAAuAgAAZHJzL2Uyb0RvYy54bWxQSwECLQAUAAYACAAAACEAMY8NiNsA&#10;AAADAQAADwAAAAAAAAAAAAAAAAATBQAAZHJzL2Rvd25yZXYueG1sUEsFBgAAAAAEAAQA8wAAABsG&#10;AAAAAA==&#10;" fillcolor="black" stroked="f">
                  <v:fill r:id="rId1" o:title="" type="pattern"/>
                  <w10:anchorlock/>
                </v:shape>
              </w:pict>
            </mc:Fallback>
          </mc:AlternateContent>
        </w:r>
      </w:p>
      <w:p w:rsidR="004C0EF8" w:rsidRDefault="004C0EF8" w:rsidP="004C0EF8">
        <w:pPr>
          <w:pStyle w:val="Footer"/>
          <w:jc w:val="center"/>
        </w:pPr>
        <w:r>
          <w:fldChar w:fldCharType="begin"/>
        </w:r>
        <w:r>
          <w:instrText xml:space="preserve"> PAGE    \* MERGEFORMAT </w:instrText>
        </w:r>
        <w:r>
          <w:fldChar w:fldCharType="separate"/>
        </w:r>
        <w:r w:rsidR="006E36A3">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A58" w:rsidRDefault="00D60A58" w:rsidP="00495320">
      <w:r>
        <w:separator/>
      </w:r>
    </w:p>
  </w:footnote>
  <w:footnote w:type="continuationSeparator" w:id="0">
    <w:p w:rsidR="00D60A58" w:rsidRDefault="00D60A58" w:rsidP="00495320">
      <w:r>
        <w:continuationSeparator/>
      </w:r>
    </w:p>
  </w:footnote>
  <w:footnote w:id="1">
    <w:p w:rsidR="00495320" w:rsidRPr="0024498C" w:rsidRDefault="00495320">
      <w:pPr>
        <w:pStyle w:val="FootnoteText"/>
        <w:rPr>
          <w:rFonts w:ascii="Arial" w:hAnsi="Arial" w:cs="Arial"/>
          <w:sz w:val="16"/>
          <w:szCs w:val="16"/>
        </w:rPr>
      </w:pPr>
      <w:r w:rsidRPr="0024498C">
        <w:rPr>
          <w:rStyle w:val="FootnoteReference"/>
          <w:rFonts w:ascii="Arial" w:hAnsi="Arial" w:cs="Arial"/>
          <w:sz w:val="16"/>
          <w:szCs w:val="16"/>
        </w:rPr>
        <w:footnoteRef/>
      </w:r>
      <w:r w:rsidRPr="0024498C">
        <w:rPr>
          <w:rFonts w:ascii="Arial" w:hAnsi="Arial" w:cs="Arial"/>
          <w:sz w:val="16"/>
          <w:szCs w:val="16"/>
        </w:rPr>
        <w:t xml:space="preserve"> </w:t>
      </w:r>
    </w:p>
  </w:footnote>
  <w:footnote w:id="2">
    <w:p w:rsidR="00495320" w:rsidRPr="0024498C" w:rsidRDefault="00495320">
      <w:pPr>
        <w:pStyle w:val="FootnoteText"/>
        <w:rPr>
          <w:rFonts w:ascii="Arial" w:hAnsi="Arial" w:cs="Arial"/>
          <w:sz w:val="16"/>
          <w:szCs w:val="16"/>
        </w:rPr>
      </w:pPr>
      <w:r w:rsidRPr="0024498C">
        <w:rPr>
          <w:rStyle w:val="FootnoteReference"/>
          <w:rFonts w:ascii="Arial" w:hAnsi="Arial" w:cs="Arial"/>
          <w:sz w:val="16"/>
          <w:szCs w:val="16"/>
        </w:rPr>
        <w:footnoteRef/>
      </w:r>
      <w:r w:rsidRPr="0024498C">
        <w:rPr>
          <w:rFonts w:ascii="Arial" w:hAnsi="Arial" w:cs="Arial"/>
          <w:sz w:val="16"/>
          <w:szCs w:val="16"/>
        </w:rPr>
        <w:t xml:space="preserve"> </w:t>
      </w:r>
    </w:p>
  </w:footnote>
  <w:footnote w:id="3">
    <w:p w:rsidR="00990734" w:rsidRPr="0024498C" w:rsidRDefault="00990734" w:rsidP="00990734">
      <w:pPr>
        <w:pStyle w:val="FootnoteText"/>
        <w:rPr>
          <w:rFonts w:ascii="Arial" w:hAnsi="Arial" w:cs="Arial"/>
          <w:sz w:val="16"/>
          <w:szCs w:val="16"/>
        </w:rPr>
      </w:pPr>
      <w:r w:rsidRPr="0024498C">
        <w:rPr>
          <w:rStyle w:val="FootnoteReference"/>
          <w:rFonts w:ascii="Arial" w:hAnsi="Arial" w:cs="Arial"/>
          <w:sz w:val="16"/>
          <w:szCs w:val="16"/>
        </w:rPr>
        <w:t>֎</w:t>
      </w:r>
      <w:r w:rsidRPr="0024498C">
        <w:rPr>
          <w:rFonts w:ascii="Arial" w:hAnsi="Arial" w:cs="Arial"/>
          <w:sz w:val="16"/>
          <w:szCs w:val="16"/>
        </w:rPr>
        <w:t xml:space="preserve"> Corresponding email: </w:t>
      </w:r>
    </w:p>
  </w:footnote>
  <w:footnote w:id="4">
    <w:p w:rsidR="00495320" w:rsidRPr="0024498C" w:rsidRDefault="00495320">
      <w:pPr>
        <w:pStyle w:val="FootnoteText"/>
        <w:rPr>
          <w:rFonts w:ascii="Arial" w:hAnsi="Arial" w:cs="Arial"/>
          <w:sz w:val="16"/>
          <w:szCs w:val="16"/>
        </w:rPr>
      </w:pPr>
      <w:r w:rsidRPr="0024498C">
        <w:rPr>
          <w:rStyle w:val="FootnoteReference"/>
          <w:rFonts w:ascii="Arial" w:hAnsi="Arial" w:cs="Arial"/>
          <w:sz w:val="16"/>
          <w:szCs w:val="16"/>
        </w:rPr>
        <w:footnoteRef/>
      </w:r>
      <w:r w:rsidRPr="0024498C">
        <w:rPr>
          <w:rFonts w:ascii="Arial" w:hAnsi="Arial" w:cs="Arial"/>
          <w:sz w:val="16"/>
          <w:szCs w:val="16"/>
        </w:rPr>
        <w:t xml:space="preserve"> </w:t>
      </w:r>
    </w:p>
  </w:footnote>
  <w:footnote w:id="5">
    <w:p w:rsidR="00495320" w:rsidRPr="0024498C" w:rsidRDefault="00495320">
      <w:pPr>
        <w:pStyle w:val="FootnoteText"/>
        <w:rPr>
          <w:rFonts w:ascii="Arial" w:hAnsi="Arial" w:cs="Arial"/>
          <w:sz w:val="16"/>
          <w:szCs w:val="16"/>
        </w:rPr>
      </w:pPr>
      <w:r w:rsidRPr="0024498C">
        <w:rPr>
          <w:rStyle w:val="FootnoteReference"/>
          <w:rFonts w:ascii="Arial" w:hAnsi="Arial" w:cs="Arial"/>
          <w:sz w:val="16"/>
          <w:szCs w:val="16"/>
        </w:rPr>
        <w:footnoteRef/>
      </w:r>
      <w:r w:rsidRPr="0024498C">
        <w:rPr>
          <w:rFonts w:ascii="Arial" w:hAnsi="Arial" w:cs="Arial"/>
          <w:sz w:val="16"/>
          <w:szCs w:val="16"/>
        </w:rPr>
        <w:t xml:space="preserve"> </w:t>
      </w:r>
    </w:p>
  </w:footnote>
  <w:footnote w:id="6">
    <w:p w:rsidR="00495320" w:rsidRPr="0024498C" w:rsidRDefault="00495320">
      <w:pPr>
        <w:pStyle w:val="FootnoteText"/>
        <w:rPr>
          <w:rFonts w:ascii="Arial" w:hAnsi="Arial" w:cs="Arial"/>
          <w:sz w:val="16"/>
          <w:szCs w:val="16"/>
        </w:rPr>
      </w:pPr>
      <w:r w:rsidRPr="0024498C">
        <w:rPr>
          <w:rStyle w:val="FootnoteReference"/>
          <w:rFonts w:ascii="Arial" w:hAnsi="Arial" w:cs="Arial"/>
          <w:sz w:val="16"/>
          <w:szCs w:val="16"/>
        </w:rPr>
        <w:footnoteRef/>
      </w:r>
      <w:r w:rsidRPr="0024498C">
        <w:rPr>
          <w:rFonts w:ascii="Arial"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6AC" w:rsidRDefault="001F46AC" w:rsidP="001F46A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6AC" w:rsidRPr="001877BE" w:rsidRDefault="001877BE" w:rsidP="001F46AC">
    <w:pPr>
      <w:pStyle w:val="Header"/>
      <w:jc w:val="center"/>
      <w:rPr>
        <w:rFonts w:ascii="Arial" w:eastAsia="Arial" w:hAnsi="Arial" w:cs="Arial"/>
        <w:bCs/>
        <w:i/>
        <w:sz w:val="14"/>
        <w:szCs w:val="14"/>
      </w:rPr>
    </w:pPr>
    <w:r w:rsidRPr="001877BE">
      <w:rPr>
        <w:rFonts w:ascii="Arial" w:eastAsia="Arial" w:hAnsi="Arial" w:cs="Arial"/>
        <w:bCs/>
        <w:i/>
        <w:sz w:val="14"/>
        <w:szCs w:val="14"/>
      </w:rPr>
      <w:t xml:space="preserve">Asian j. appl. sci. eng. </w:t>
    </w:r>
    <w:r w:rsidR="000152BE" w:rsidRPr="001877BE">
      <w:rPr>
        <w:rFonts w:ascii="Arial" w:eastAsia="Arial" w:hAnsi="Arial" w:cs="Arial"/>
        <w:bCs/>
        <w:i/>
        <w:sz w:val="14"/>
        <w:szCs w:val="14"/>
      </w:rPr>
      <w:t>ISSN 2305-915X (</w:t>
    </w:r>
    <w:r w:rsidRPr="001877BE">
      <w:rPr>
        <w:rFonts w:ascii="Arial" w:eastAsia="Arial" w:hAnsi="Arial" w:cs="Arial"/>
        <w:bCs/>
        <w:i/>
        <w:sz w:val="14"/>
        <w:szCs w:val="14"/>
      </w:rPr>
      <w:t>Print), ISSN 2307-9584 (Online)</w:t>
    </w:r>
  </w:p>
  <w:p w:rsidR="00990734" w:rsidRPr="000152BE" w:rsidRDefault="00990734" w:rsidP="001877BE">
    <w:pPr>
      <w:pStyle w:val="Header"/>
      <w:pBdr>
        <w:bottom w:val="single" w:sz="4" w:space="1" w:color="auto"/>
      </w:pBd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904" w:rsidRDefault="00960904" w:rsidP="004C0EF8">
    <w:pPr>
      <w:pStyle w:val="Header"/>
      <w:spacing w:after="60"/>
      <w:jc w:val="right"/>
      <w:rPr>
        <w:rFonts w:ascii="Arial" w:eastAsia="Arial" w:hAnsi="Arial" w:cs="Arial"/>
        <w:i/>
        <w:sz w:val="14"/>
        <w:szCs w:val="14"/>
      </w:rPr>
    </w:pPr>
    <w:r>
      <w:rPr>
        <w:rFonts w:ascii="Arial" w:eastAsia="Arial" w:hAnsi="Arial" w:cs="Arial"/>
        <w:i/>
        <w:noProof/>
        <w:sz w:val="14"/>
        <w:szCs w:val="14"/>
      </w:rPr>
      <w:drawing>
        <wp:inline distT="0" distB="0" distL="0" distR="0">
          <wp:extent cx="1068420" cy="604014"/>
          <wp:effectExtent l="0" t="0" r="0" b="571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145" cy="692616"/>
                  </a:xfrm>
                  <a:prstGeom prst="rect">
                    <a:avLst/>
                  </a:prstGeom>
                  <a:noFill/>
                  <a:ln>
                    <a:noFill/>
                  </a:ln>
                </pic:spPr>
              </pic:pic>
            </a:graphicData>
          </a:graphic>
        </wp:inline>
      </w:drawing>
    </w:r>
  </w:p>
  <w:p w:rsidR="00960904" w:rsidRPr="00990734" w:rsidRDefault="00D60A58" w:rsidP="00960904">
    <w:pPr>
      <w:pStyle w:val="Header"/>
      <w:jc w:val="right"/>
      <w:rPr>
        <w:i/>
      </w:rPr>
    </w:pPr>
    <w:hyperlink r:id="rId2" w:history="1">
      <w:r w:rsidR="004C0EF8" w:rsidRPr="00990734">
        <w:rPr>
          <w:rStyle w:val="Hyperlink"/>
          <w:rFonts w:ascii="Arial" w:eastAsia="Arial" w:hAnsi="Arial" w:cs="Arial"/>
          <w:i/>
          <w:sz w:val="14"/>
          <w:szCs w:val="14"/>
        </w:rPr>
        <w:t>https://upright.pub/index.php/ajase/</w:t>
      </w:r>
    </w:hyperlink>
    <w:r w:rsidR="004C0EF8" w:rsidRPr="00990734">
      <w:rPr>
        <w:rFonts w:ascii="Arial" w:eastAsia="Arial" w:hAnsi="Arial" w:cs="Arial"/>
        <w:i/>
        <w:sz w:val="14"/>
        <w:szCs w:val="1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2DB"/>
    <w:multiLevelType w:val="hybridMultilevel"/>
    <w:tmpl w:val="FDBEEC4A"/>
    <w:lvl w:ilvl="0" w:tplc="5CDCC66C">
      <w:start w:val="1"/>
      <w:numFmt w:val="bullet"/>
      <w:lvlText w:val="•"/>
      <w:lvlJc w:val="left"/>
    </w:lvl>
    <w:lvl w:ilvl="1" w:tplc="92E61F58">
      <w:numFmt w:val="decimal"/>
      <w:lvlText w:val=""/>
      <w:lvlJc w:val="left"/>
    </w:lvl>
    <w:lvl w:ilvl="2" w:tplc="B8FAFF4A">
      <w:numFmt w:val="decimal"/>
      <w:lvlText w:val=""/>
      <w:lvlJc w:val="left"/>
    </w:lvl>
    <w:lvl w:ilvl="3" w:tplc="4508C1BC">
      <w:numFmt w:val="decimal"/>
      <w:lvlText w:val=""/>
      <w:lvlJc w:val="left"/>
    </w:lvl>
    <w:lvl w:ilvl="4" w:tplc="C77EDFC4">
      <w:numFmt w:val="decimal"/>
      <w:lvlText w:val=""/>
      <w:lvlJc w:val="left"/>
    </w:lvl>
    <w:lvl w:ilvl="5" w:tplc="E0B040B6">
      <w:numFmt w:val="decimal"/>
      <w:lvlText w:val=""/>
      <w:lvlJc w:val="left"/>
    </w:lvl>
    <w:lvl w:ilvl="6" w:tplc="05FA9BE4">
      <w:numFmt w:val="decimal"/>
      <w:lvlText w:val=""/>
      <w:lvlJc w:val="left"/>
    </w:lvl>
    <w:lvl w:ilvl="7" w:tplc="EE96B922">
      <w:numFmt w:val="decimal"/>
      <w:lvlText w:val=""/>
      <w:lvlJc w:val="left"/>
    </w:lvl>
    <w:lvl w:ilvl="8" w:tplc="03DC56B2">
      <w:numFmt w:val="decimal"/>
      <w:lvlText w:val=""/>
      <w:lvlJc w:val="left"/>
    </w:lvl>
  </w:abstractNum>
  <w:abstractNum w:abstractNumId="1" w15:restartNumberingAfterBreak="0">
    <w:nsid w:val="00002EA6"/>
    <w:multiLevelType w:val="hybridMultilevel"/>
    <w:tmpl w:val="2E3AF6D8"/>
    <w:lvl w:ilvl="0" w:tplc="6826D5C4">
      <w:start w:val="1"/>
      <w:numFmt w:val="bullet"/>
      <w:lvlText w:val="•"/>
      <w:lvlJc w:val="left"/>
    </w:lvl>
    <w:lvl w:ilvl="1" w:tplc="7570AC40">
      <w:numFmt w:val="decimal"/>
      <w:lvlText w:val=""/>
      <w:lvlJc w:val="left"/>
    </w:lvl>
    <w:lvl w:ilvl="2" w:tplc="9EFE230C">
      <w:numFmt w:val="decimal"/>
      <w:lvlText w:val=""/>
      <w:lvlJc w:val="left"/>
    </w:lvl>
    <w:lvl w:ilvl="3" w:tplc="EFBCBD6A">
      <w:numFmt w:val="decimal"/>
      <w:lvlText w:val=""/>
      <w:lvlJc w:val="left"/>
    </w:lvl>
    <w:lvl w:ilvl="4" w:tplc="099E4852">
      <w:numFmt w:val="decimal"/>
      <w:lvlText w:val=""/>
      <w:lvlJc w:val="left"/>
    </w:lvl>
    <w:lvl w:ilvl="5" w:tplc="ECCA943A">
      <w:numFmt w:val="decimal"/>
      <w:lvlText w:val=""/>
      <w:lvlJc w:val="left"/>
    </w:lvl>
    <w:lvl w:ilvl="6" w:tplc="0910E774">
      <w:numFmt w:val="decimal"/>
      <w:lvlText w:val=""/>
      <w:lvlJc w:val="left"/>
    </w:lvl>
    <w:lvl w:ilvl="7" w:tplc="F2C86AE4">
      <w:numFmt w:val="decimal"/>
      <w:lvlText w:val=""/>
      <w:lvlJc w:val="left"/>
    </w:lvl>
    <w:lvl w:ilvl="8" w:tplc="07C8EB42">
      <w:numFmt w:val="decimal"/>
      <w:lvlText w:val=""/>
      <w:lvlJc w:val="left"/>
    </w:lvl>
  </w:abstractNum>
  <w:abstractNum w:abstractNumId="2" w15:restartNumberingAfterBreak="0">
    <w:nsid w:val="0000390C"/>
    <w:multiLevelType w:val="hybridMultilevel"/>
    <w:tmpl w:val="2E9A4E98"/>
    <w:lvl w:ilvl="0" w:tplc="874CE10E">
      <w:start w:val="1"/>
      <w:numFmt w:val="bullet"/>
      <w:lvlText w:val="*"/>
      <w:lvlJc w:val="left"/>
    </w:lvl>
    <w:lvl w:ilvl="1" w:tplc="727C7FDA">
      <w:start w:val="1"/>
      <w:numFmt w:val="decimal"/>
      <w:lvlText w:val="%2."/>
      <w:lvlJc w:val="left"/>
    </w:lvl>
    <w:lvl w:ilvl="2" w:tplc="3438A9FC">
      <w:numFmt w:val="decimal"/>
      <w:lvlText w:val=""/>
      <w:lvlJc w:val="left"/>
    </w:lvl>
    <w:lvl w:ilvl="3" w:tplc="AB989BAA">
      <w:numFmt w:val="decimal"/>
      <w:lvlText w:val=""/>
      <w:lvlJc w:val="left"/>
    </w:lvl>
    <w:lvl w:ilvl="4" w:tplc="3BDE37C0">
      <w:numFmt w:val="decimal"/>
      <w:lvlText w:val=""/>
      <w:lvlJc w:val="left"/>
    </w:lvl>
    <w:lvl w:ilvl="5" w:tplc="2B769E36">
      <w:numFmt w:val="decimal"/>
      <w:lvlText w:val=""/>
      <w:lvlJc w:val="left"/>
    </w:lvl>
    <w:lvl w:ilvl="6" w:tplc="03E48696">
      <w:numFmt w:val="decimal"/>
      <w:lvlText w:val=""/>
      <w:lvlJc w:val="left"/>
    </w:lvl>
    <w:lvl w:ilvl="7" w:tplc="97AE7992">
      <w:numFmt w:val="decimal"/>
      <w:lvlText w:val=""/>
      <w:lvlJc w:val="left"/>
    </w:lvl>
    <w:lvl w:ilvl="8" w:tplc="70CA602C">
      <w:numFmt w:val="decimal"/>
      <w:lvlText w:val=""/>
      <w:lvlJc w:val="left"/>
    </w:lvl>
  </w:abstractNum>
  <w:abstractNum w:abstractNumId="3" w15:restartNumberingAfterBreak="0">
    <w:nsid w:val="3139258D"/>
    <w:multiLevelType w:val="multilevel"/>
    <w:tmpl w:val="AA5C0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F90390"/>
    <w:multiLevelType w:val="multilevel"/>
    <w:tmpl w:val="9A60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CE52AB"/>
    <w:multiLevelType w:val="hybridMultilevel"/>
    <w:tmpl w:val="811687C8"/>
    <w:lvl w:ilvl="0" w:tplc="04090001">
      <w:start w:val="1"/>
      <w:numFmt w:val="bullet"/>
      <w:lvlText w:val=""/>
      <w:lvlJc w:val="left"/>
      <w:pPr>
        <w:ind w:left="962" w:hanging="360"/>
      </w:pPr>
      <w:rPr>
        <w:rFonts w:ascii="Symbol" w:hAnsi="Symbol"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D02"/>
    <w:rsid w:val="000152BE"/>
    <w:rsid w:val="000967EF"/>
    <w:rsid w:val="000E5B8C"/>
    <w:rsid w:val="00157957"/>
    <w:rsid w:val="001877BE"/>
    <w:rsid w:val="001B66EE"/>
    <w:rsid w:val="001F46AC"/>
    <w:rsid w:val="0024498C"/>
    <w:rsid w:val="00287A6E"/>
    <w:rsid w:val="00370D02"/>
    <w:rsid w:val="004129C5"/>
    <w:rsid w:val="00495320"/>
    <w:rsid w:val="004C0EF8"/>
    <w:rsid w:val="00506C96"/>
    <w:rsid w:val="00550433"/>
    <w:rsid w:val="005E4A28"/>
    <w:rsid w:val="006202BC"/>
    <w:rsid w:val="006A77A1"/>
    <w:rsid w:val="006E36A3"/>
    <w:rsid w:val="0086133A"/>
    <w:rsid w:val="00960904"/>
    <w:rsid w:val="00990734"/>
    <w:rsid w:val="00A47F94"/>
    <w:rsid w:val="00BE5364"/>
    <w:rsid w:val="00C86AE8"/>
    <w:rsid w:val="00D57F63"/>
    <w:rsid w:val="00D60A58"/>
    <w:rsid w:val="00E46B0A"/>
    <w:rsid w:val="00E54214"/>
    <w:rsid w:val="00F3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9F043C-2CAB-4D59-BD69-E8F4E85F5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9C5"/>
    <w:pPr>
      <w:spacing w:after="0" w:line="240" w:lineRule="auto"/>
    </w:pPr>
    <w:rPr>
      <w:rFonts w:ascii="Times New Roman" w:eastAsiaTheme="minorEastAsia" w:hAnsi="Times New Roman" w:cs="Times New Roman"/>
    </w:rPr>
  </w:style>
  <w:style w:type="paragraph" w:styleId="Heading3">
    <w:name w:val="heading 3"/>
    <w:basedOn w:val="Normal"/>
    <w:link w:val="Heading3Char"/>
    <w:uiPriority w:val="9"/>
    <w:qFormat/>
    <w:rsid w:val="005E4A28"/>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95320"/>
    <w:rPr>
      <w:sz w:val="20"/>
      <w:szCs w:val="20"/>
    </w:rPr>
  </w:style>
  <w:style w:type="character" w:customStyle="1" w:styleId="FootnoteTextChar">
    <w:name w:val="Footnote Text Char"/>
    <w:basedOn w:val="DefaultParagraphFont"/>
    <w:link w:val="FootnoteText"/>
    <w:uiPriority w:val="99"/>
    <w:semiHidden/>
    <w:rsid w:val="00495320"/>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495320"/>
    <w:rPr>
      <w:vertAlign w:val="superscript"/>
    </w:rPr>
  </w:style>
  <w:style w:type="paragraph" w:styleId="ListParagraph">
    <w:name w:val="List Paragraph"/>
    <w:basedOn w:val="Normal"/>
    <w:uiPriority w:val="34"/>
    <w:qFormat/>
    <w:rsid w:val="001B66EE"/>
    <w:pPr>
      <w:ind w:left="720"/>
      <w:contextualSpacing/>
    </w:pPr>
  </w:style>
  <w:style w:type="paragraph" w:styleId="Caption">
    <w:name w:val="caption"/>
    <w:basedOn w:val="Normal"/>
    <w:next w:val="Normal"/>
    <w:uiPriority w:val="35"/>
    <w:unhideWhenUsed/>
    <w:qFormat/>
    <w:rsid w:val="000E5B8C"/>
    <w:pPr>
      <w:spacing w:after="200"/>
    </w:pPr>
    <w:rPr>
      <w:i/>
      <w:iCs/>
      <w:color w:val="44546A" w:themeColor="text2"/>
      <w:sz w:val="18"/>
      <w:szCs w:val="18"/>
    </w:rPr>
  </w:style>
  <w:style w:type="character" w:styleId="Emphasis">
    <w:name w:val="Emphasis"/>
    <w:basedOn w:val="DefaultParagraphFont"/>
    <w:uiPriority w:val="20"/>
    <w:qFormat/>
    <w:rsid w:val="00D57F63"/>
    <w:rPr>
      <w:i/>
      <w:iCs/>
    </w:rPr>
  </w:style>
  <w:style w:type="character" w:styleId="Hyperlink">
    <w:name w:val="Hyperlink"/>
    <w:basedOn w:val="DefaultParagraphFont"/>
    <w:uiPriority w:val="99"/>
    <w:unhideWhenUsed/>
    <w:rsid w:val="00D57F63"/>
    <w:rPr>
      <w:color w:val="0000FF"/>
      <w:u w:val="single"/>
    </w:rPr>
  </w:style>
  <w:style w:type="character" w:styleId="Strong">
    <w:name w:val="Strong"/>
    <w:basedOn w:val="DefaultParagraphFont"/>
    <w:uiPriority w:val="22"/>
    <w:qFormat/>
    <w:rsid w:val="005E4A28"/>
    <w:rPr>
      <w:b/>
      <w:bCs/>
    </w:rPr>
  </w:style>
  <w:style w:type="paragraph" w:customStyle="1" w:styleId="reference">
    <w:name w:val="reference"/>
    <w:basedOn w:val="Normal"/>
    <w:rsid w:val="005E4A28"/>
    <w:pPr>
      <w:spacing w:before="100" w:beforeAutospacing="1" w:after="100" w:afterAutospacing="1"/>
    </w:pPr>
    <w:rPr>
      <w:rFonts w:eastAsia="Times New Roman"/>
      <w:sz w:val="24"/>
      <w:szCs w:val="24"/>
    </w:rPr>
  </w:style>
  <w:style w:type="paragraph" w:styleId="NormalWeb">
    <w:name w:val="Normal (Web)"/>
    <w:basedOn w:val="Normal"/>
    <w:uiPriority w:val="99"/>
    <w:semiHidden/>
    <w:unhideWhenUsed/>
    <w:rsid w:val="005E4A28"/>
    <w:pPr>
      <w:spacing w:before="100" w:beforeAutospacing="1" w:after="100" w:afterAutospacing="1"/>
    </w:pPr>
    <w:rPr>
      <w:rFonts w:eastAsia="Times New Roman"/>
      <w:sz w:val="24"/>
      <w:szCs w:val="24"/>
    </w:rPr>
  </w:style>
  <w:style w:type="character" w:customStyle="1" w:styleId="Heading3Char">
    <w:name w:val="Heading 3 Char"/>
    <w:basedOn w:val="DefaultParagraphFont"/>
    <w:link w:val="Heading3"/>
    <w:uiPriority w:val="9"/>
    <w:rsid w:val="005E4A28"/>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157957"/>
    <w:pPr>
      <w:tabs>
        <w:tab w:val="center" w:pos="4680"/>
        <w:tab w:val="right" w:pos="9360"/>
      </w:tabs>
    </w:pPr>
  </w:style>
  <w:style w:type="character" w:customStyle="1" w:styleId="HeaderChar">
    <w:name w:val="Header Char"/>
    <w:basedOn w:val="DefaultParagraphFont"/>
    <w:link w:val="Header"/>
    <w:uiPriority w:val="99"/>
    <w:rsid w:val="00157957"/>
    <w:rPr>
      <w:rFonts w:ascii="Times New Roman" w:eastAsiaTheme="minorEastAsia" w:hAnsi="Times New Roman" w:cs="Times New Roman"/>
    </w:rPr>
  </w:style>
  <w:style w:type="paragraph" w:styleId="Footer">
    <w:name w:val="footer"/>
    <w:basedOn w:val="Normal"/>
    <w:link w:val="FooterChar"/>
    <w:uiPriority w:val="99"/>
    <w:unhideWhenUsed/>
    <w:rsid w:val="00157957"/>
    <w:pPr>
      <w:tabs>
        <w:tab w:val="center" w:pos="4680"/>
        <w:tab w:val="right" w:pos="9360"/>
      </w:tabs>
    </w:pPr>
  </w:style>
  <w:style w:type="character" w:customStyle="1" w:styleId="FooterChar">
    <w:name w:val="Footer Char"/>
    <w:basedOn w:val="DefaultParagraphFont"/>
    <w:link w:val="Footer"/>
    <w:uiPriority w:val="99"/>
    <w:rsid w:val="00157957"/>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109218">
      <w:bodyDiv w:val="1"/>
      <w:marLeft w:val="0"/>
      <w:marRight w:val="0"/>
      <w:marTop w:val="0"/>
      <w:marBottom w:val="0"/>
      <w:divBdr>
        <w:top w:val="none" w:sz="0" w:space="0" w:color="auto"/>
        <w:left w:val="none" w:sz="0" w:space="0" w:color="auto"/>
        <w:bottom w:val="none" w:sz="0" w:space="0" w:color="auto"/>
        <w:right w:val="none" w:sz="0" w:space="0" w:color="auto"/>
      </w:divBdr>
    </w:div>
    <w:div w:id="756437691">
      <w:bodyDiv w:val="1"/>
      <w:marLeft w:val="0"/>
      <w:marRight w:val="0"/>
      <w:marTop w:val="0"/>
      <w:marBottom w:val="0"/>
      <w:divBdr>
        <w:top w:val="none" w:sz="0" w:space="0" w:color="auto"/>
        <w:left w:val="none" w:sz="0" w:space="0" w:color="auto"/>
        <w:bottom w:val="none" w:sz="0" w:space="0" w:color="auto"/>
        <w:right w:val="none" w:sz="0" w:space="0" w:color="auto"/>
      </w:divBdr>
    </w:div>
    <w:div w:id="138629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i.org/10.1037/ppm000018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doi.org/10.1016/j.chb.2017.02.038"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oi.org/10.1371/journal.pone.019397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2" Type="http://schemas.openxmlformats.org/officeDocument/2006/relationships/hyperlink" Target="https://upright.pub/index.php/ajas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B16A9-7619-486E-B150-4FC3A9E38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1928</Words>
  <Characters>10991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2021-07-06T09:43:00Z</dcterms:created>
  <dcterms:modified xsi:type="dcterms:W3CDTF">2021-07-06T09:43:00Z</dcterms:modified>
</cp:coreProperties>
</file>